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953F34">
      <w:pPr>
        <w:pStyle w:val="16"/>
        <w:spacing w:before="0" w:after="120"/>
        <w:jc w:val="both"/>
        <w:rPr>
          <w:rFonts w:hint="default" w:ascii="Times New Roman" w:hAnsi="Times New Roman" w:eastAsia="Times New Roman" w:cs="Times New Roman"/>
          <w:i/>
          <w:iCs/>
        </w:rPr>
      </w:pPr>
      <w:r>
        <w:rPr>
          <w:rFonts w:hint="default" w:ascii="Times New Roman" w:hAnsi="Times New Roman" w:eastAsia="Times New Roman" w:cs="Times New Roman"/>
          <w:i/>
          <w:iCs/>
        </w:rPr>
        <w:t>Antara Ego dan Bukti Sosial: Perspektif Keuangan Keperilakuan pada Keputusan Investasi di Galeri Investasi UNUSIDA</w:t>
      </w:r>
      <w:r>
        <w:rPr>
          <w:rFonts w:hint="default" w:ascii="Times New Roman" w:hAnsi="Times New Roman" w:eastAsia="Times New Roman" w:cs="Times New Roman"/>
          <w:i/>
          <w:iCs/>
        </w:rPr>
        <w:br w:type="textWrapping"/>
      </w:r>
      <w:r>
        <w:rPr>
          <w:rFonts w:hint="default" w:ascii="Times New Roman" w:hAnsi="Times New Roman" w:eastAsia="Times New Roman" w:cs="Times New Roman"/>
          <w:b w:val="0"/>
          <w:bCs w:val="0"/>
          <w:i/>
          <w:iCs/>
          <w:sz w:val="28"/>
          <w:szCs w:val="28"/>
        </w:rPr>
        <w:t>Between Ego and Social Proof: A Behavioral Finance Perspective on Investment Decisions at the UNUSIDA Investment Gallery</w:t>
      </w:r>
    </w:p>
    <w:p w14:paraId="2D253474">
      <w:pPr>
        <w:pBdr>
          <w:top w:val="none" w:color="auto" w:sz="0" w:space="0"/>
          <w:left w:val="none" w:color="auto" w:sz="0" w:space="0"/>
          <w:bottom w:val="none" w:color="auto" w:sz="0" w:space="0"/>
          <w:right w:val="none" w:color="auto" w:sz="0" w:space="0"/>
          <w:between w:val="none" w:color="auto" w:sz="0" w:space="0"/>
        </w:pBdr>
        <w:spacing w:after="113"/>
        <w:rPr>
          <w:rFonts w:hint="default" w:ascii="Times New Roman" w:hAnsi="Times New Roman" w:cs="Times New Roman"/>
          <w:b/>
          <w:bCs/>
          <w:color w:val="000000"/>
        </w:rPr>
      </w:pPr>
    </w:p>
    <w:p w14:paraId="075A18CA">
      <w:pPr>
        <w:pBdr>
          <w:top w:val="none" w:color="auto" w:sz="0" w:space="0"/>
          <w:left w:val="none" w:color="auto" w:sz="0" w:space="0"/>
          <w:bottom w:val="none" w:color="auto" w:sz="0" w:space="0"/>
          <w:right w:val="none" w:color="auto" w:sz="0" w:space="0"/>
          <w:between w:val="none" w:color="auto" w:sz="0" w:space="0"/>
        </w:pBdr>
        <w:spacing w:after="113"/>
        <w:rPr>
          <w:rFonts w:hint="default" w:ascii="Times New Roman" w:hAnsi="Times New Roman" w:eastAsia="Times New Roman" w:cs="Times New Roman"/>
          <w:b/>
          <w:bCs/>
          <w:color w:val="000000"/>
          <w:sz w:val="20"/>
          <w:szCs w:val="20"/>
        </w:rPr>
      </w:pPr>
      <w:r>
        <w:rPr>
          <w:rFonts w:hint="default" w:ascii="Times New Roman" w:hAnsi="Times New Roman" w:eastAsia="Times New Roman" w:cs="Times New Roman"/>
          <w:b/>
          <w:bCs/>
          <w:color w:val="000000"/>
          <w:sz w:val="20"/>
          <w:szCs w:val="20"/>
        </w:rPr>
        <w:t>Achmad Zaki</w:t>
      </w:r>
      <w:r>
        <w:rPr>
          <w:rFonts w:hint="default" w:ascii="Times New Roman" w:hAnsi="Times New Roman" w:eastAsia="Times New Roman" w:cs="Times New Roman"/>
          <w:color w:val="000000"/>
          <w:sz w:val="20"/>
          <w:szCs w:val="20"/>
          <w:vertAlign w:val="superscript"/>
        </w:rPr>
        <w:t>1</w:t>
      </w:r>
    </w:p>
    <w:p w14:paraId="472EE009">
      <w:pPr>
        <w:pBdr>
          <w:top w:val="none" w:color="auto" w:sz="0" w:space="0"/>
          <w:left w:val="none" w:color="auto" w:sz="0" w:space="0"/>
          <w:bottom w:val="none" w:color="auto" w:sz="0" w:space="0"/>
          <w:right w:val="none" w:color="auto" w:sz="0" w:space="0"/>
          <w:between w:val="none" w:color="auto" w:sz="0" w:space="0"/>
        </w:pBdr>
        <w:rPr>
          <w:rFonts w:hint="default" w:ascii="Times New Roman" w:hAnsi="Times New Roman" w:eastAsia="Times New Roman" w:cs="Times New Roman"/>
          <w:color w:val="000000"/>
          <w:sz w:val="20"/>
          <w:szCs w:val="20"/>
        </w:rPr>
      </w:pPr>
      <w:bookmarkStart w:id="0" w:name="_30j0zll" w:colFirst="0" w:colLast="0"/>
      <w:bookmarkEnd w:id="0"/>
      <w:r>
        <w:rPr>
          <w:rFonts w:hint="default" w:ascii="Times New Roman" w:hAnsi="Times New Roman" w:eastAsia="Times New Roman" w:cs="Times New Roman"/>
          <w:color w:val="000000"/>
          <w:sz w:val="20"/>
          <w:szCs w:val="20"/>
          <w:vertAlign w:val="superscript"/>
        </w:rPr>
        <w:t>1</w:t>
      </w:r>
      <w:r>
        <w:rPr>
          <w:rFonts w:hint="default" w:ascii="Times New Roman" w:hAnsi="Times New Roman" w:eastAsia="Times New Roman" w:cs="Times New Roman"/>
          <w:color w:val="000000"/>
          <w:sz w:val="20"/>
          <w:szCs w:val="20"/>
        </w:rPr>
        <w:t>Prodi Manajemen, Fakultas Ekonomi, Universitas Nahdlatul Ulama, Sidaorjo 61218, Indonesia</w:t>
      </w:r>
    </w:p>
    <w:p w14:paraId="292431AD">
      <w:pPr>
        <w:pBdr>
          <w:top w:val="none" w:color="auto" w:sz="0" w:space="0"/>
          <w:left w:val="none" w:color="auto" w:sz="0" w:space="0"/>
          <w:bottom w:val="none" w:color="auto" w:sz="0" w:space="0"/>
          <w:right w:val="none" w:color="auto" w:sz="0" w:space="0"/>
          <w:between w:val="none" w:color="auto" w:sz="0" w:space="0"/>
        </w:pBdr>
        <w:spacing w:after="240"/>
        <w:rPr>
          <w:rFonts w:hint="default" w:ascii="Times New Roman" w:hAnsi="Times New Roman" w:eastAsia="Times New Roman" w:cs="Times New Roman"/>
          <w:color w:val="000000"/>
          <w:sz w:val="20"/>
          <w:szCs w:val="20"/>
        </w:rPr>
      </w:pPr>
      <w:r>
        <w:rPr>
          <w:rFonts w:hint="default" w:ascii="Times New Roman" w:hAnsi="Times New Roman" w:eastAsia="Times New Roman" w:cs="Times New Roman"/>
          <w:color w:val="000000"/>
          <w:sz w:val="20"/>
          <w:szCs w:val="20"/>
        </w:rPr>
        <w:t>Email : achmadzaki1992@gmail.com</w:t>
      </w:r>
    </w:p>
    <w:tbl>
      <w:tblPr>
        <w:tblStyle w:val="18"/>
        <w:tblW w:w="8778" w:type="dxa"/>
        <w:tblInd w:w="-108" w:type="dxa"/>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119"/>
        <w:gridCol w:w="5659"/>
      </w:tblGrid>
      <w:tr w14:paraId="2F98270C">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19" w:type="dxa"/>
            <w:tcBorders>
              <w:top w:val="single" w:color="000000" w:sz="4" w:space="0"/>
              <w:bottom w:val="single" w:color="000000" w:sz="4" w:space="0"/>
            </w:tcBorders>
          </w:tcPr>
          <w:p w14:paraId="6C55A431">
            <w:pPr>
              <w:pBdr>
                <w:top w:val="none" w:color="auto" w:sz="0" w:space="0"/>
                <w:left w:val="none" w:color="auto" w:sz="0" w:space="0"/>
                <w:bottom w:val="none" w:color="auto" w:sz="0" w:space="0"/>
                <w:right w:val="none" w:color="auto" w:sz="0" w:space="0"/>
                <w:between w:val="none" w:color="auto" w:sz="0" w:space="0"/>
              </w:pBdr>
              <w:spacing w:before="120" w:line="360" w:lineRule="auto"/>
              <w:jc w:val="both"/>
              <w:rPr>
                <w:rFonts w:hint="default" w:ascii="Times New Roman" w:hAnsi="Times New Roman" w:eastAsia="Times New Roman" w:cs="Times New Roman"/>
                <w:b/>
                <w:bCs/>
                <w:color w:val="000000"/>
                <w:sz w:val="18"/>
                <w:szCs w:val="18"/>
              </w:rPr>
            </w:pPr>
            <w:r>
              <w:rPr>
                <w:rFonts w:hint="default" w:ascii="Times New Roman" w:hAnsi="Times New Roman" w:eastAsia="Times New Roman" w:cs="Times New Roman"/>
                <w:b/>
                <w:bCs/>
                <w:color w:val="000000"/>
                <w:sz w:val="18"/>
                <w:szCs w:val="18"/>
              </w:rPr>
              <w:t>Article info: Research Article</w:t>
            </w:r>
          </w:p>
          <w:p w14:paraId="2C88CD5C">
            <w:pPr>
              <w:pBdr>
                <w:top w:val="none" w:color="auto" w:sz="0" w:space="0"/>
                <w:left w:val="none" w:color="auto" w:sz="0" w:space="0"/>
                <w:bottom w:val="none" w:color="auto" w:sz="0" w:space="0"/>
                <w:right w:val="none" w:color="auto" w:sz="0" w:space="0"/>
                <w:between w:val="none" w:color="auto" w:sz="0" w:space="0"/>
              </w:pBdr>
              <w:spacing w:after="120"/>
              <w:jc w:val="both"/>
              <w:rPr>
                <w:rFonts w:hint="default" w:ascii="Times New Roman" w:hAnsi="Times New Roman" w:eastAsia="Times New Roman" w:cs="Times New Roman"/>
                <w:color w:val="000000"/>
                <w:sz w:val="18"/>
                <w:szCs w:val="18"/>
              </w:rPr>
            </w:pPr>
          </w:p>
          <w:p w14:paraId="173B0915">
            <w:pPr>
              <w:pBdr>
                <w:top w:val="none" w:color="auto" w:sz="0" w:space="0"/>
                <w:left w:val="none" w:color="auto" w:sz="0" w:space="0"/>
                <w:bottom w:val="none" w:color="auto" w:sz="0" w:space="0"/>
                <w:right w:val="none" w:color="auto" w:sz="0" w:space="0"/>
                <w:between w:val="none" w:color="auto" w:sz="0" w:space="0"/>
              </w:pBdr>
              <w:spacing w:after="120"/>
              <w:jc w:val="both"/>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rPr>
              <w:t>DOI :10.55732/UNU.TJJ.202</w:t>
            </w:r>
            <w:r>
              <w:rPr>
                <w:rFonts w:hint="default" w:ascii="Times New Roman" w:hAnsi="Times New Roman" w:eastAsia="Times New Roman" w:cs="Times New Roman"/>
                <w:color w:val="000000"/>
                <w:sz w:val="18"/>
                <w:szCs w:val="18"/>
                <w:lang w:val="en-US"/>
              </w:rPr>
              <w:t>6</w:t>
            </w:r>
            <w:r>
              <w:rPr>
                <w:rFonts w:hint="default" w:ascii="Times New Roman" w:hAnsi="Times New Roman" w:eastAsia="Times New Roman" w:cs="Times New Roman"/>
                <w:color w:val="000000"/>
                <w:sz w:val="18"/>
                <w:szCs w:val="18"/>
              </w:rPr>
              <w:t>.0</w:t>
            </w:r>
            <w:r>
              <w:rPr>
                <w:rFonts w:hint="default" w:ascii="Times New Roman" w:hAnsi="Times New Roman" w:eastAsia="Times New Roman" w:cs="Times New Roman"/>
                <w:color w:val="000000"/>
                <w:sz w:val="18"/>
                <w:szCs w:val="18"/>
                <w:lang w:val="en-US"/>
              </w:rPr>
              <w:t>4</w:t>
            </w:r>
            <w:r>
              <w:rPr>
                <w:rFonts w:hint="default" w:ascii="Times New Roman" w:hAnsi="Times New Roman" w:eastAsia="Times New Roman" w:cs="Times New Roman"/>
                <w:color w:val="000000"/>
                <w:sz w:val="18"/>
                <w:szCs w:val="18"/>
              </w:rPr>
              <w:t>.0</w:t>
            </w:r>
            <w:r>
              <w:rPr>
                <w:rFonts w:hint="default" w:ascii="Times New Roman" w:hAnsi="Times New Roman" w:eastAsia="Times New Roman" w:cs="Times New Roman"/>
                <w:color w:val="000000"/>
                <w:sz w:val="18"/>
                <w:szCs w:val="18"/>
                <w:lang w:val="en-US"/>
              </w:rPr>
              <w:t>1</w:t>
            </w:r>
            <w:r>
              <w:rPr>
                <w:rFonts w:hint="default" w:ascii="Times New Roman" w:hAnsi="Times New Roman" w:eastAsia="Times New Roman" w:cs="Times New Roman"/>
                <w:color w:val="000000"/>
                <w:sz w:val="18"/>
                <w:szCs w:val="18"/>
              </w:rPr>
              <w:t>.</w:t>
            </w:r>
            <w:r>
              <w:rPr>
                <w:rFonts w:hint="default" w:ascii="Times New Roman" w:hAnsi="Times New Roman" w:eastAsia="Times New Roman" w:cs="Times New Roman"/>
                <w:color w:val="000000"/>
                <w:sz w:val="18"/>
                <w:szCs w:val="18"/>
                <w:lang w:val="en-US"/>
              </w:rPr>
              <w:t>5</w:t>
            </w:r>
          </w:p>
          <w:p w14:paraId="4ED8291E">
            <w:pPr>
              <w:pBdr>
                <w:top w:val="none" w:color="auto" w:sz="0" w:space="0"/>
                <w:left w:val="none" w:color="auto" w:sz="0" w:space="0"/>
                <w:bottom w:val="none" w:color="auto" w:sz="0" w:space="0"/>
                <w:right w:val="none" w:color="auto" w:sz="0" w:space="0"/>
                <w:between w:val="none" w:color="auto" w:sz="0" w:space="0"/>
              </w:pBdr>
              <w:spacing w:after="120"/>
              <w:jc w:val="both"/>
              <w:rPr>
                <w:rFonts w:hint="default" w:ascii="Times New Roman" w:hAnsi="Times New Roman" w:eastAsia="Times New Roman" w:cs="Times New Roman"/>
                <w:color w:val="000000"/>
                <w:sz w:val="18"/>
                <w:szCs w:val="18"/>
              </w:rPr>
            </w:pPr>
            <w:r>
              <w:rPr>
                <w:rFonts w:hint="default" w:ascii="Times New Roman" w:hAnsi="Times New Roman" w:eastAsia="Times New Roman" w:cs="Times New Roman"/>
                <w:color w:val="000000"/>
                <w:sz w:val="18"/>
                <w:szCs w:val="18"/>
              </w:rPr>
              <w:t xml:space="preserve">Kata kunci: </w:t>
            </w:r>
          </w:p>
          <w:p w14:paraId="55AE5078">
            <w:pPr>
              <w:pBdr>
                <w:top w:val="none" w:color="auto" w:sz="0" w:space="0"/>
                <w:left w:val="none" w:color="auto" w:sz="0" w:space="0"/>
                <w:bottom w:val="none" w:color="auto" w:sz="0" w:space="0"/>
                <w:right w:val="none" w:color="auto" w:sz="0" w:space="0"/>
                <w:between w:val="none" w:color="auto" w:sz="0" w:space="0"/>
              </w:pBdr>
              <w:spacing w:after="120"/>
              <w:rPr>
                <w:rFonts w:hint="default" w:ascii="Times New Roman" w:hAnsi="Times New Roman" w:eastAsia="Times New Roman" w:cs="Times New Roman"/>
                <w:color w:val="000000"/>
                <w:sz w:val="18"/>
                <w:szCs w:val="18"/>
              </w:rPr>
            </w:pPr>
            <w:r>
              <w:rPr>
                <w:rFonts w:hint="default" w:ascii="Times New Roman" w:hAnsi="Times New Roman" w:eastAsia="Times New Roman" w:cs="Times New Roman"/>
                <w:i/>
                <w:iCs/>
                <w:color w:val="000000"/>
                <w:sz w:val="20"/>
                <w:szCs w:val="20"/>
                <w:lang w:val="zh-CN"/>
              </w:rPr>
              <w:t>Behavioral Finance</w:t>
            </w:r>
            <w:r>
              <w:rPr>
                <w:rFonts w:hint="default" w:ascii="Times New Roman" w:hAnsi="Times New Roman" w:eastAsia="Times New Roman" w:cs="Times New Roman"/>
                <w:color w:val="000000"/>
                <w:sz w:val="20"/>
                <w:szCs w:val="20"/>
                <w:lang w:val="zh-CN"/>
              </w:rPr>
              <w:t xml:space="preserve">, </w:t>
            </w:r>
            <w:r>
              <w:rPr>
                <w:rFonts w:hint="default" w:ascii="Times New Roman" w:hAnsi="Times New Roman" w:eastAsia="Times New Roman" w:cs="Times New Roman"/>
                <w:i/>
                <w:iCs/>
                <w:color w:val="000000"/>
                <w:sz w:val="20"/>
                <w:szCs w:val="20"/>
                <w:lang w:val="zh-CN"/>
              </w:rPr>
              <w:t>Overconfidence</w:t>
            </w:r>
            <w:r>
              <w:rPr>
                <w:rFonts w:hint="default" w:ascii="Times New Roman" w:hAnsi="Times New Roman" w:eastAsia="Times New Roman" w:cs="Times New Roman"/>
                <w:color w:val="000000"/>
                <w:sz w:val="20"/>
                <w:szCs w:val="20"/>
                <w:lang w:val="zh-CN"/>
              </w:rPr>
              <w:t xml:space="preserve">, </w:t>
            </w:r>
            <w:r>
              <w:rPr>
                <w:rFonts w:hint="default" w:ascii="Times New Roman" w:hAnsi="Times New Roman" w:eastAsia="Times New Roman" w:cs="Times New Roman"/>
                <w:i/>
                <w:iCs/>
                <w:color w:val="000000"/>
                <w:sz w:val="20"/>
                <w:szCs w:val="20"/>
                <w:lang w:val="zh-CN"/>
              </w:rPr>
              <w:t>Confirmation Bias</w:t>
            </w:r>
            <w:r>
              <w:rPr>
                <w:rFonts w:hint="default" w:ascii="Times New Roman" w:hAnsi="Times New Roman" w:eastAsia="Times New Roman" w:cs="Times New Roman"/>
                <w:color w:val="000000"/>
                <w:sz w:val="20"/>
                <w:szCs w:val="20"/>
                <w:lang w:val="zh-CN"/>
              </w:rPr>
              <w:t xml:space="preserve">, </w:t>
            </w:r>
            <w:r>
              <w:rPr>
                <w:rFonts w:hint="default" w:ascii="Times New Roman" w:hAnsi="Times New Roman" w:eastAsia="Times New Roman" w:cs="Times New Roman"/>
                <w:i/>
                <w:iCs/>
                <w:color w:val="000000"/>
                <w:sz w:val="20"/>
                <w:szCs w:val="20"/>
                <w:lang w:val="zh-CN"/>
              </w:rPr>
              <w:t>Herd Behavior</w:t>
            </w:r>
            <w:r>
              <w:rPr>
                <w:rFonts w:hint="default" w:ascii="Times New Roman" w:hAnsi="Times New Roman" w:eastAsia="Times New Roman" w:cs="Times New Roman"/>
                <w:color w:val="000000"/>
                <w:sz w:val="20"/>
                <w:szCs w:val="20"/>
                <w:lang w:val="zh-CN"/>
              </w:rPr>
              <w:t>, Keputusan Investasi, KSPM.</w:t>
            </w:r>
          </w:p>
          <w:p w14:paraId="1B51ED01">
            <w:pPr>
              <w:pBdr>
                <w:top w:val="none" w:color="auto" w:sz="0" w:space="0"/>
                <w:left w:val="none" w:color="auto" w:sz="0" w:space="0"/>
                <w:bottom w:val="none" w:color="auto" w:sz="0" w:space="0"/>
                <w:right w:val="none" w:color="auto" w:sz="0" w:space="0"/>
                <w:between w:val="none" w:color="auto" w:sz="0" w:space="0"/>
              </w:pBdr>
              <w:spacing w:after="120"/>
              <w:jc w:val="both"/>
              <w:rPr>
                <w:rFonts w:hint="default" w:ascii="Times New Roman" w:hAnsi="Times New Roman" w:eastAsia="Times New Roman" w:cs="Times New Roman"/>
                <w:color w:val="000000"/>
                <w:sz w:val="18"/>
                <w:szCs w:val="18"/>
              </w:rPr>
            </w:pPr>
            <w:r>
              <w:rPr>
                <w:rFonts w:hint="default" w:ascii="Times New Roman" w:hAnsi="Times New Roman" w:eastAsia="Times New Roman" w:cs="Times New Roman"/>
                <w:color w:val="000000"/>
                <w:sz w:val="18"/>
                <w:szCs w:val="18"/>
              </w:rPr>
              <w:t xml:space="preserve">Keywords: </w:t>
            </w:r>
          </w:p>
          <w:p w14:paraId="30FDF7EF">
            <w:pPr>
              <w:pBdr>
                <w:top w:val="none" w:color="auto" w:sz="0" w:space="0"/>
                <w:left w:val="none" w:color="auto" w:sz="0" w:space="0"/>
                <w:bottom w:val="none" w:color="auto" w:sz="0" w:space="0"/>
                <w:right w:val="none" w:color="auto" w:sz="0" w:space="0"/>
                <w:between w:val="none" w:color="auto" w:sz="0" w:space="0"/>
              </w:pBdr>
              <w:spacing w:after="120"/>
              <w:rPr>
                <w:rFonts w:hint="default" w:ascii="Times New Roman" w:hAnsi="Times New Roman" w:eastAsia="Times New Roman" w:cs="Times New Roman"/>
                <w:color w:val="000000"/>
                <w:sz w:val="18"/>
                <w:szCs w:val="18"/>
              </w:rPr>
            </w:pPr>
            <w:r>
              <w:rPr>
                <w:rFonts w:hint="default" w:ascii="Times New Roman" w:hAnsi="Times New Roman" w:eastAsia="Times New Roman" w:cs="Times New Roman"/>
                <w:i/>
                <w:iCs/>
                <w:color w:val="000000"/>
                <w:sz w:val="20"/>
                <w:szCs w:val="20"/>
                <w:lang w:val="zh-CN"/>
              </w:rPr>
              <w:t>Behavioral Finance</w:t>
            </w:r>
            <w:r>
              <w:rPr>
                <w:rFonts w:hint="default" w:ascii="Times New Roman" w:hAnsi="Times New Roman" w:eastAsia="Times New Roman" w:cs="Times New Roman"/>
                <w:color w:val="000000"/>
                <w:sz w:val="20"/>
                <w:szCs w:val="20"/>
                <w:lang w:val="zh-CN"/>
              </w:rPr>
              <w:t xml:space="preserve">, </w:t>
            </w:r>
            <w:r>
              <w:rPr>
                <w:rFonts w:hint="default" w:ascii="Times New Roman" w:hAnsi="Times New Roman" w:eastAsia="Times New Roman" w:cs="Times New Roman"/>
                <w:i/>
                <w:iCs/>
                <w:color w:val="000000"/>
                <w:sz w:val="20"/>
                <w:szCs w:val="20"/>
                <w:lang w:val="zh-CN"/>
              </w:rPr>
              <w:t>Overconfidence</w:t>
            </w:r>
            <w:r>
              <w:rPr>
                <w:rFonts w:hint="default" w:ascii="Times New Roman" w:hAnsi="Times New Roman" w:eastAsia="Times New Roman" w:cs="Times New Roman"/>
                <w:color w:val="000000"/>
                <w:sz w:val="20"/>
                <w:szCs w:val="20"/>
                <w:lang w:val="zh-CN"/>
              </w:rPr>
              <w:t xml:space="preserve">, </w:t>
            </w:r>
            <w:r>
              <w:rPr>
                <w:rFonts w:hint="default" w:ascii="Times New Roman" w:hAnsi="Times New Roman" w:eastAsia="Times New Roman" w:cs="Times New Roman"/>
                <w:i/>
                <w:iCs/>
                <w:color w:val="000000"/>
                <w:sz w:val="20"/>
                <w:szCs w:val="20"/>
                <w:lang w:val="zh-CN"/>
              </w:rPr>
              <w:t>Confirmation Bias</w:t>
            </w:r>
            <w:r>
              <w:rPr>
                <w:rFonts w:hint="default" w:ascii="Times New Roman" w:hAnsi="Times New Roman" w:eastAsia="Times New Roman" w:cs="Times New Roman"/>
                <w:color w:val="000000"/>
                <w:sz w:val="20"/>
                <w:szCs w:val="20"/>
                <w:lang w:val="zh-CN"/>
              </w:rPr>
              <w:t xml:space="preserve">, </w:t>
            </w:r>
            <w:r>
              <w:rPr>
                <w:rFonts w:hint="default" w:ascii="Times New Roman" w:hAnsi="Times New Roman" w:eastAsia="Times New Roman" w:cs="Times New Roman"/>
                <w:i/>
                <w:iCs/>
                <w:color w:val="000000"/>
                <w:sz w:val="20"/>
                <w:szCs w:val="20"/>
                <w:lang w:val="zh-CN"/>
              </w:rPr>
              <w:t>Herd Behavior</w:t>
            </w:r>
            <w:r>
              <w:rPr>
                <w:rFonts w:hint="default" w:ascii="Times New Roman" w:hAnsi="Times New Roman" w:eastAsia="Times New Roman" w:cs="Times New Roman"/>
                <w:color w:val="000000"/>
                <w:sz w:val="20"/>
                <w:szCs w:val="20"/>
                <w:lang w:val="zh-CN"/>
              </w:rPr>
              <w:t xml:space="preserve">, </w:t>
            </w:r>
            <w:r>
              <w:rPr>
                <w:rFonts w:hint="default" w:ascii="Times New Roman" w:hAnsi="Times New Roman" w:eastAsia="Times New Roman" w:cs="Times New Roman"/>
                <w:i/>
                <w:iCs/>
                <w:color w:val="000000"/>
                <w:sz w:val="20"/>
                <w:szCs w:val="20"/>
                <w:lang w:val="zh-CN"/>
              </w:rPr>
              <w:t>Investment Decision</w:t>
            </w:r>
            <w:r>
              <w:rPr>
                <w:rFonts w:hint="default" w:ascii="Times New Roman" w:hAnsi="Times New Roman" w:eastAsia="Times New Roman" w:cs="Times New Roman"/>
                <w:color w:val="000000"/>
                <w:sz w:val="20"/>
                <w:szCs w:val="20"/>
                <w:lang w:val="zh-CN"/>
              </w:rPr>
              <w:t>, KSPM.</w:t>
            </w:r>
          </w:p>
          <w:p w14:paraId="1A1D6AFC">
            <w:pPr>
              <w:pBdr>
                <w:top w:val="none" w:color="auto" w:sz="0" w:space="0"/>
                <w:left w:val="none" w:color="auto" w:sz="0" w:space="0"/>
                <w:bottom w:val="none" w:color="auto" w:sz="0" w:space="0"/>
                <w:right w:val="none" w:color="auto" w:sz="0" w:space="0"/>
                <w:between w:val="none" w:color="auto" w:sz="0" w:space="0"/>
              </w:pBdr>
              <w:spacing w:before="120"/>
              <w:jc w:val="both"/>
              <w:rPr>
                <w:rFonts w:hint="default" w:ascii="Times New Roman" w:hAnsi="Times New Roman" w:eastAsia="Times New Roman" w:cs="Times New Roman"/>
                <w:b/>
                <w:bCs/>
                <w:color w:val="000000"/>
                <w:sz w:val="18"/>
                <w:szCs w:val="18"/>
              </w:rPr>
            </w:pPr>
            <w:r>
              <w:rPr>
                <w:rFonts w:hint="default" w:ascii="Times New Roman" w:hAnsi="Times New Roman" w:eastAsia="Times New Roman" w:cs="Times New Roman"/>
                <w:b/>
                <w:bCs/>
                <w:color w:val="000000"/>
                <w:sz w:val="18"/>
                <w:szCs w:val="18"/>
              </w:rPr>
              <w:t>Article history:</w:t>
            </w:r>
          </w:p>
          <w:p w14:paraId="759E133F">
            <w:pPr>
              <w:pBdr>
                <w:top w:val="none" w:color="auto" w:sz="0" w:space="0"/>
                <w:left w:val="none" w:color="auto" w:sz="0" w:space="0"/>
                <w:bottom w:val="none" w:color="auto" w:sz="0" w:space="0"/>
                <w:right w:val="none" w:color="auto" w:sz="0" w:space="0"/>
                <w:between w:val="none" w:color="auto" w:sz="0" w:space="0"/>
              </w:pBdr>
              <w:jc w:val="both"/>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rPr>
              <w:t>Received:</w:t>
            </w:r>
            <w:r>
              <w:rPr>
                <w:rFonts w:hint="default" w:ascii="Times New Roman" w:hAnsi="Times New Roman" w:eastAsia="Times New Roman" w:cs="Times New Roman"/>
                <w:color w:val="000000"/>
                <w:sz w:val="18"/>
                <w:szCs w:val="18"/>
                <w:lang w:val="en-US"/>
              </w:rPr>
              <w:t xml:space="preserve"> 06-05-2026</w:t>
            </w:r>
          </w:p>
          <w:p w14:paraId="4C553F96">
            <w:pPr>
              <w:pBdr>
                <w:top w:val="none" w:color="auto" w:sz="0" w:space="0"/>
                <w:left w:val="none" w:color="auto" w:sz="0" w:space="0"/>
                <w:bottom w:val="none" w:color="auto" w:sz="0" w:space="0"/>
                <w:right w:val="none" w:color="auto" w:sz="0" w:space="0"/>
                <w:between w:val="none" w:color="auto" w:sz="0" w:space="0"/>
              </w:pBdr>
              <w:jc w:val="both"/>
              <w:rPr>
                <w:rFonts w:hint="default" w:ascii="Times New Roman" w:hAnsi="Times New Roman" w:eastAsia="Times New Roman" w:cs="Times New Roman"/>
                <w:color w:val="000000"/>
                <w:sz w:val="18"/>
                <w:szCs w:val="18"/>
              </w:rPr>
            </w:pPr>
            <w:r>
              <w:rPr>
                <w:rFonts w:hint="default" w:ascii="Times New Roman" w:hAnsi="Times New Roman" w:eastAsia="Times New Roman" w:cs="Times New Roman"/>
                <w:color w:val="000000"/>
                <w:sz w:val="18"/>
                <w:szCs w:val="18"/>
              </w:rPr>
              <w:t>Accepted: 29-05-2026</w:t>
            </w:r>
          </w:p>
          <w:p w14:paraId="7D754650">
            <w:pPr>
              <w:pBdr>
                <w:top w:val="none" w:color="auto" w:sz="0" w:space="0"/>
                <w:left w:val="none" w:color="auto" w:sz="0" w:space="0"/>
                <w:bottom w:val="none" w:color="auto" w:sz="0" w:space="0"/>
                <w:right w:val="none" w:color="auto" w:sz="0" w:space="0"/>
                <w:between w:val="none" w:color="auto" w:sz="0" w:space="0"/>
              </w:pBdr>
              <w:jc w:val="both"/>
              <w:rPr>
                <w:rFonts w:hint="default" w:ascii="Times New Roman" w:hAnsi="Times New Roman" w:eastAsia="Times New Roman" w:cs="Times New Roman"/>
                <w:color w:val="000000"/>
                <w:sz w:val="18"/>
                <w:szCs w:val="18"/>
              </w:rPr>
            </w:pPr>
          </w:p>
          <w:p w14:paraId="17176FB0">
            <w:pPr>
              <w:pBdr>
                <w:top w:val="none" w:color="auto" w:sz="0" w:space="0"/>
                <w:left w:val="none" w:color="auto" w:sz="0" w:space="0"/>
                <w:bottom w:val="none" w:color="auto" w:sz="0" w:space="0"/>
                <w:right w:val="none" w:color="auto" w:sz="0" w:space="0"/>
                <w:between w:val="none" w:color="auto" w:sz="0" w:space="0"/>
              </w:pBdr>
              <w:rPr>
                <w:rFonts w:hint="default" w:ascii="Times New Roman" w:hAnsi="Times New Roman" w:eastAsia="Times New Roman" w:cs="Times New Roman"/>
                <w:color w:val="000000"/>
                <w:sz w:val="18"/>
                <w:szCs w:val="18"/>
              </w:rPr>
            </w:pPr>
            <w:r>
              <w:rPr>
                <w:rFonts w:hint="default" w:ascii="Times New Roman" w:hAnsi="Times New Roman" w:eastAsia="Times New Roman" w:cs="Times New Roman"/>
                <w:color w:val="000000"/>
                <w:sz w:val="18"/>
                <w:szCs w:val="18"/>
                <w:vertAlign w:val="superscript"/>
              </w:rPr>
              <w:t>*)</w:t>
            </w:r>
            <w:r>
              <w:rPr>
                <w:rFonts w:hint="default" w:ascii="Times New Roman" w:hAnsi="Times New Roman" w:eastAsia="Times New Roman" w:cs="Times New Roman"/>
                <w:color w:val="000000"/>
                <w:sz w:val="18"/>
                <w:szCs w:val="18"/>
              </w:rPr>
              <w:t xml:space="preserve">Koresponden email: achmadzaki1992@gmail.com </w:t>
            </w:r>
          </w:p>
          <w:p w14:paraId="792479E4">
            <w:pPr>
              <w:pBdr>
                <w:top w:val="none" w:color="auto" w:sz="0" w:space="0"/>
                <w:left w:val="none" w:color="auto" w:sz="0" w:space="0"/>
                <w:bottom w:val="none" w:color="auto" w:sz="0" w:space="0"/>
                <w:right w:val="none" w:color="auto" w:sz="0" w:space="0"/>
                <w:between w:val="none" w:color="auto" w:sz="0" w:space="0"/>
              </w:pBdr>
              <w:jc w:val="both"/>
              <w:rPr>
                <w:rFonts w:hint="default" w:ascii="Times New Roman" w:hAnsi="Times New Roman" w:cs="Times New Roman"/>
                <w:color w:val="000000"/>
                <w:sz w:val="18"/>
                <w:szCs w:val="18"/>
                <w:highlight w:val="yellow"/>
              </w:rPr>
            </w:pPr>
          </w:p>
          <w:p w14:paraId="0765208F">
            <w:pPr>
              <w:pBdr>
                <w:top w:val="none" w:color="auto" w:sz="0" w:space="0"/>
                <w:left w:val="none" w:color="auto" w:sz="0" w:space="0"/>
                <w:bottom w:val="none" w:color="auto" w:sz="0" w:space="0"/>
                <w:right w:val="none" w:color="auto" w:sz="0" w:space="0"/>
                <w:between w:val="none" w:color="auto" w:sz="0" w:space="0"/>
              </w:pBdr>
              <w:jc w:val="both"/>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(c) 2026 Achmad Zaki</w:t>
            </w:r>
          </w:p>
          <w:p w14:paraId="4D9EC3D2">
            <w:pPr>
              <w:pBdr>
                <w:top w:val="none" w:color="auto" w:sz="0" w:space="0"/>
                <w:left w:val="none" w:color="auto" w:sz="0" w:space="0"/>
                <w:bottom w:val="none" w:color="auto" w:sz="0" w:space="0"/>
                <w:right w:val="none" w:color="auto" w:sz="0" w:space="0"/>
                <w:between w:val="none" w:color="auto" w:sz="0" w:space="0"/>
              </w:pBdr>
              <w:jc w:val="both"/>
              <w:rPr>
                <w:rFonts w:hint="default" w:ascii="Times New Roman" w:hAnsi="Times New Roman" w:cs="Times New Roman"/>
                <w:color w:val="000000"/>
                <w:sz w:val="18"/>
                <w:szCs w:val="18"/>
              </w:rPr>
            </w:pPr>
          </w:p>
          <w:p w14:paraId="5ECB4021">
            <w:pPr>
              <w:pBdr>
                <w:top w:val="none" w:color="auto" w:sz="0" w:space="0"/>
                <w:left w:val="none" w:color="auto" w:sz="0" w:space="0"/>
                <w:bottom w:val="none" w:color="auto" w:sz="0" w:space="0"/>
                <w:right w:val="none" w:color="auto" w:sz="0" w:space="0"/>
                <w:between w:val="none" w:color="auto" w:sz="0" w:space="0"/>
              </w:pBdr>
              <w:jc w:val="both"/>
              <w:rPr>
                <w:rFonts w:hint="default" w:ascii="Times New Roman" w:hAnsi="Times New Roman" w:cs="Times New Roman"/>
                <w:color w:val="000000"/>
                <w:sz w:val="18"/>
                <w:szCs w:val="18"/>
              </w:rPr>
            </w:pPr>
            <w:r>
              <w:rPr>
                <w:rFonts w:hint="default" w:ascii="Times New Roman" w:hAnsi="Times New Roman" w:cs="Times New Roman"/>
                <w:color w:val="000000"/>
              </w:rPr>
              <w:drawing>
                <wp:inline distT="0" distB="0" distL="0" distR="0">
                  <wp:extent cx="838200" cy="297180"/>
                  <wp:effectExtent l="0" t="0" r="0" b="0"/>
                  <wp:docPr id="1" name="image3.png" descr="Creative Commons License"/>
                  <wp:cNvGraphicFramePr/>
                  <a:graphic xmlns:a="http://schemas.openxmlformats.org/drawingml/2006/main">
                    <a:graphicData uri="http://schemas.openxmlformats.org/drawingml/2006/picture">
                      <pic:pic xmlns:pic="http://schemas.openxmlformats.org/drawingml/2006/picture">
                        <pic:nvPicPr>
                          <pic:cNvPr id="1" name="image3.png" descr="Creative Commons License"/>
                          <pic:cNvPicPr preferRelativeResize="0"/>
                        </pic:nvPicPr>
                        <pic:blipFill>
                          <a:blip r:embed="rId8"/>
                          <a:srcRect/>
                          <a:stretch>
                            <a:fillRect/>
                          </a:stretch>
                        </pic:blipFill>
                        <pic:spPr>
                          <a:xfrm>
                            <a:off x="0" y="0"/>
                            <a:ext cx="838200" cy="297180"/>
                          </a:xfrm>
                          <a:prstGeom prst="rect">
                            <a:avLst/>
                          </a:prstGeom>
                        </pic:spPr>
                      </pic:pic>
                    </a:graphicData>
                  </a:graphic>
                </wp:inline>
              </w:drawing>
            </w:r>
          </w:p>
          <w:p w14:paraId="366820F5">
            <w:pPr>
              <w:pBdr>
                <w:top w:val="none" w:color="auto" w:sz="0" w:space="0"/>
                <w:left w:val="none" w:color="auto" w:sz="0" w:space="0"/>
                <w:bottom w:val="none" w:color="auto" w:sz="0" w:space="0"/>
                <w:right w:val="none" w:color="auto" w:sz="0" w:space="0"/>
                <w:between w:val="none" w:color="auto" w:sz="0" w:space="0"/>
              </w:pBdr>
              <w:jc w:val="both"/>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 xml:space="preserve">Creative Commons </w:t>
            </w:r>
            <w:r>
              <w:rPr>
                <w:rFonts w:hint="default" w:ascii="Times New Roman" w:hAnsi="Times New Roman" w:cs="Times New Roman"/>
                <w:sz w:val="18"/>
                <w:szCs w:val="18"/>
              </w:rPr>
              <w:t>Licence</w:t>
            </w:r>
          </w:p>
          <w:p w14:paraId="53C53137">
            <w:pPr>
              <w:pBdr>
                <w:top w:val="none" w:color="auto" w:sz="0" w:space="0"/>
                <w:left w:val="none" w:color="auto" w:sz="0" w:space="0"/>
                <w:bottom w:val="none" w:color="auto" w:sz="0" w:space="0"/>
                <w:right w:val="none" w:color="auto" w:sz="0" w:space="0"/>
                <w:between w:val="none" w:color="auto" w:sz="0" w:space="0"/>
              </w:pBdr>
              <w:spacing w:after="454"/>
              <w:jc w:val="both"/>
              <w:rPr>
                <w:rFonts w:hint="default" w:ascii="Times New Roman" w:hAnsi="Times New Roman" w:eastAsia="Times New Roman" w:cs="Times New Roman"/>
                <w:color w:val="000000"/>
                <w:sz w:val="20"/>
                <w:szCs w:val="20"/>
              </w:rPr>
            </w:pPr>
            <w:r>
              <w:rPr>
                <w:rFonts w:hint="default" w:ascii="Times New Roman" w:hAnsi="Times New Roman" w:cs="Times New Roman"/>
                <w:color w:val="000000"/>
                <w:sz w:val="18"/>
                <w:szCs w:val="18"/>
              </w:rPr>
              <w:t xml:space="preserve">This work is licensed under a </w:t>
            </w:r>
            <w:r>
              <w:rPr>
                <w:rFonts w:hint="default" w:ascii="Times New Roman" w:hAnsi="Times New Roman" w:cs="Times New Roman"/>
              </w:rPr>
              <w:fldChar w:fldCharType="begin"/>
            </w:r>
            <w:r>
              <w:rPr>
                <w:rFonts w:hint="default" w:ascii="Times New Roman" w:hAnsi="Times New Roman" w:cs="Times New Roman"/>
              </w:rPr>
              <w:instrText xml:space="preserve"> HYPERLINK "https://creativecommons.org/licenses/by-nc/4.0/" \h </w:instrText>
            </w:r>
            <w:r>
              <w:rPr>
                <w:rFonts w:hint="default" w:ascii="Times New Roman" w:hAnsi="Times New Roman" w:cs="Times New Roman"/>
              </w:rPr>
              <w:fldChar w:fldCharType="separate"/>
            </w:r>
            <w:r>
              <w:rPr>
                <w:rFonts w:hint="default" w:ascii="Times New Roman" w:hAnsi="Times New Roman" w:cs="Times New Roman"/>
                <w:color w:val="0000FF"/>
                <w:sz w:val="18"/>
                <w:szCs w:val="18"/>
                <w:u w:val="single"/>
              </w:rPr>
              <w:t>Creative Commons Attribution-NonCommercial 4.0 International License.</w:t>
            </w:r>
            <w:r>
              <w:rPr>
                <w:rFonts w:hint="default" w:ascii="Times New Roman" w:hAnsi="Times New Roman" w:cs="Times New Roman"/>
                <w:color w:val="0000FF"/>
                <w:sz w:val="18"/>
                <w:szCs w:val="18"/>
                <w:u w:val="single"/>
              </w:rPr>
              <w:fldChar w:fldCharType="end"/>
            </w:r>
          </w:p>
        </w:tc>
        <w:tc>
          <w:tcPr>
            <w:tcW w:w="5659" w:type="dxa"/>
          </w:tcPr>
          <w:p w14:paraId="4EFDFF7E">
            <w:pPr>
              <w:pBdr>
                <w:top w:val="none" w:color="auto" w:sz="0" w:space="0"/>
                <w:left w:val="none" w:color="auto" w:sz="0" w:space="0"/>
                <w:bottom w:val="none" w:color="auto" w:sz="0" w:space="0"/>
                <w:right w:val="none" w:color="auto" w:sz="0" w:space="0"/>
                <w:between w:val="none" w:color="auto" w:sz="0" w:space="0"/>
              </w:pBdr>
              <w:spacing w:before="120" w:after="120"/>
              <w:jc w:val="center"/>
              <w:rPr>
                <w:rFonts w:hint="default" w:ascii="Times New Roman" w:hAnsi="Times New Roman" w:eastAsia="Times New Roman" w:cs="Times New Roman"/>
                <w:color w:val="000000"/>
                <w:sz w:val="20"/>
                <w:szCs w:val="20"/>
              </w:rPr>
            </w:pPr>
            <w:r>
              <w:rPr>
                <w:rFonts w:hint="default" w:ascii="Times New Roman" w:hAnsi="Times New Roman" w:eastAsia="Times New Roman" w:cs="Times New Roman"/>
                <w:b/>
                <w:bCs/>
                <w:color w:val="000000"/>
                <w:sz w:val="20"/>
                <w:szCs w:val="20"/>
              </w:rPr>
              <w:t>Abstrak</w:t>
            </w:r>
          </w:p>
          <w:p w14:paraId="1963FF46">
            <w:pPr>
              <w:pBdr>
                <w:top w:val="none" w:color="auto" w:sz="0" w:space="0"/>
                <w:left w:val="none" w:color="auto" w:sz="0" w:space="0"/>
                <w:bottom w:val="none" w:color="auto" w:sz="0" w:space="0"/>
                <w:right w:val="none" w:color="auto" w:sz="0" w:space="0"/>
                <w:between w:val="none" w:color="auto" w:sz="0" w:space="0"/>
              </w:pBdr>
              <w:spacing w:after="120"/>
              <w:jc w:val="both"/>
              <w:rPr>
                <w:rFonts w:hint="default" w:ascii="Times New Roman" w:hAnsi="Times New Roman" w:eastAsia="Times New Roman" w:cs="Times New Roman"/>
                <w:color w:val="000000"/>
                <w:sz w:val="20"/>
                <w:szCs w:val="20"/>
                <w:lang w:val="zh-CN"/>
              </w:rPr>
            </w:pPr>
            <w:r>
              <w:rPr>
                <w:rFonts w:hint="default" w:ascii="Times New Roman" w:hAnsi="Times New Roman" w:eastAsia="Times New Roman" w:cs="Times New Roman"/>
                <w:color w:val="000000"/>
                <w:sz w:val="20"/>
                <w:szCs w:val="20"/>
                <w:lang w:val="zh-CN"/>
              </w:rPr>
              <w:t xml:space="preserve">Penelitian ini bertujuan untuk menguji secara empiris pengaruh bias psikologis yang terdiri dari </w:t>
            </w:r>
            <w:r>
              <w:rPr>
                <w:rFonts w:hint="default" w:ascii="Times New Roman" w:hAnsi="Times New Roman" w:eastAsia="Times New Roman" w:cs="Times New Roman"/>
                <w:i/>
                <w:iCs/>
                <w:color w:val="000000"/>
                <w:sz w:val="20"/>
                <w:szCs w:val="20"/>
                <w:lang w:val="zh-CN"/>
              </w:rPr>
              <w:t>overconfidence</w:t>
            </w:r>
            <w:r>
              <w:rPr>
                <w:rFonts w:hint="default" w:ascii="Times New Roman" w:hAnsi="Times New Roman" w:eastAsia="Times New Roman" w:cs="Times New Roman"/>
                <w:color w:val="000000"/>
                <w:sz w:val="20"/>
                <w:szCs w:val="20"/>
                <w:lang w:val="zh-CN"/>
              </w:rPr>
              <w:t xml:space="preserve">, </w:t>
            </w:r>
            <w:r>
              <w:rPr>
                <w:rFonts w:hint="default" w:ascii="Times New Roman" w:hAnsi="Times New Roman" w:eastAsia="Times New Roman" w:cs="Times New Roman"/>
                <w:i/>
                <w:iCs/>
                <w:color w:val="000000"/>
                <w:sz w:val="20"/>
                <w:szCs w:val="20"/>
                <w:lang w:val="zh-CN"/>
              </w:rPr>
              <w:t>confirmation bias</w:t>
            </w:r>
            <w:r>
              <w:rPr>
                <w:rFonts w:hint="default" w:ascii="Times New Roman" w:hAnsi="Times New Roman" w:eastAsia="Times New Roman" w:cs="Times New Roman"/>
                <w:color w:val="000000"/>
                <w:sz w:val="20"/>
                <w:szCs w:val="20"/>
                <w:lang w:val="zh-CN"/>
              </w:rPr>
              <w:t xml:space="preserve">, dan </w:t>
            </w:r>
            <w:r>
              <w:rPr>
                <w:rFonts w:hint="default" w:ascii="Times New Roman" w:hAnsi="Times New Roman" w:eastAsia="Times New Roman" w:cs="Times New Roman"/>
                <w:i/>
                <w:iCs/>
                <w:color w:val="000000"/>
                <w:sz w:val="20"/>
                <w:szCs w:val="20"/>
                <w:lang w:val="zh-CN"/>
              </w:rPr>
              <w:t>herd behavior</w:t>
            </w:r>
            <w:r>
              <w:rPr>
                <w:rFonts w:hint="default" w:ascii="Times New Roman" w:hAnsi="Times New Roman" w:eastAsia="Times New Roman" w:cs="Times New Roman"/>
                <w:color w:val="000000"/>
                <w:sz w:val="20"/>
                <w:szCs w:val="20"/>
                <w:lang w:val="zh-CN"/>
              </w:rPr>
              <w:t xml:space="preserve"> terhadap pengambilan keputusan investasi pada investor muda. Objek penelitian ini adalah mahasiswa yang tergabung dalam Kelompok Studi Pasar Modal (KSPM) di Galeri Investasi Universitas Nahdlatul Ulama Sidoarjo (UNUSIDA). Penelitian ini menggunakan pendekatan kuantitatif kausal dengan populasi seluruh anggota KSPM dengan jumlah responden sebanyak 32 mahasiswa yang aktif bertransaksi di pasar modal. Data dikumpulkan melalui kuesioner terstruktur dengan skala Likert yang telah diuji validitas dan reliabilitasnya, kemudian dianalisis menggunakan regresi linear berganda melalui perangkat lunak statistik.</w:t>
            </w:r>
          </w:p>
          <w:p w14:paraId="013F6FED">
            <w:pPr>
              <w:pBdr>
                <w:top w:val="none" w:color="auto" w:sz="0" w:space="0"/>
                <w:left w:val="none" w:color="auto" w:sz="0" w:space="0"/>
                <w:bottom w:val="none" w:color="auto" w:sz="0" w:space="0"/>
                <w:right w:val="none" w:color="auto" w:sz="0" w:space="0"/>
                <w:between w:val="none" w:color="auto" w:sz="0" w:space="0"/>
              </w:pBdr>
              <w:spacing w:after="120"/>
              <w:jc w:val="both"/>
              <w:rPr>
                <w:rFonts w:hint="default" w:ascii="Times New Roman" w:hAnsi="Times New Roman" w:eastAsia="Times New Roman" w:cs="Times New Roman"/>
                <w:color w:val="000000"/>
                <w:sz w:val="20"/>
                <w:szCs w:val="20"/>
                <w:lang w:val="zh-CN"/>
              </w:rPr>
            </w:pPr>
            <w:r>
              <w:rPr>
                <w:rFonts w:hint="default" w:ascii="Times New Roman" w:hAnsi="Times New Roman" w:eastAsia="Times New Roman" w:cs="Times New Roman"/>
                <w:color w:val="000000"/>
                <w:sz w:val="20"/>
                <w:szCs w:val="20"/>
                <w:lang w:val="zh-CN"/>
              </w:rPr>
              <w:t xml:space="preserve">Hasil penelitian menunjukkan bahwa secara parsial, ketiga variabel berpengaruh positif dan signifikan terhadap keputusan investasi. Temuan unik menunjukkan bahwa </w:t>
            </w:r>
            <w:r>
              <w:rPr>
                <w:rFonts w:hint="default" w:ascii="Times New Roman" w:hAnsi="Times New Roman" w:eastAsia="Times New Roman" w:cs="Times New Roman"/>
                <w:i/>
                <w:iCs/>
                <w:color w:val="000000"/>
                <w:sz w:val="20"/>
                <w:szCs w:val="20"/>
                <w:lang w:val="zh-CN"/>
              </w:rPr>
              <w:t>herd behavior</w:t>
            </w:r>
            <w:r>
              <w:rPr>
                <w:rFonts w:hint="default" w:ascii="Times New Roman" w:hAnsi="Times New Roman" w:eastAsia="Times New Roman" w:cs="Times New Roman"/>
                <w:color w:val="000000"/>
                <w:sz w:val="20"/>
                <w:szCs w:val="20"/>
                <w:lang w:val="zh-CN"/>
              </w:rPr>
              <w:t xml:space="preserve"> merupakan faktor yang paling dominan dalam mendikte perilaku investasi mahasiswa, disusul oleh </w:t>
            </w:r>
            <w:r>
              <w:rPr>
                <w:rFonts w:hint="default" w:ascii="Times New Roman" w:hAnsi="Times New Roman" w:eastAsia="Times New Roman" w:cs="Times New Roman"/>
                <w:i/>
                <w:iCs/>
                <w:color w:val="000000"/>
                <w:sz w:val="20"/>
                <w:szCs w:val="20"/>
                <w:lang w:val="zh-CN"/>
              </w:rPr>
              <w:t>overconfidence</w:t>
            </w:r>
            <w:r>
              <w:rPr>
                <w:rFonts w:hint="default" w:ascii="Times New Roman" w:hAnsi="Times New Roman" w:eastAsia="Times New Roman" w:cs="Times New Roman"/>
                <w:color w:val="000000"/>
                <w:sz w:val="20"/>
                <w:szCs w:val="20"/>
                <w:lang w:val="zh-CN"/>
              </w:rPr>
              <w:t xml:space="preserve"> dan </w:t>
            </w:r>
            <w:r>
              <w:rPr>
                <w:rFonts w:hint="default" w:ascii="Times New Roman" w:hAnsi="Times New Roman" w:eastAsia="Times New Roman" w:cs="Times New Roman"/>
                <w:i/>
                <w:iCs/>
                <w:color w:val="000000"/>
                <w:sz w:val="20"/>
                <w:szCs w:val="20"/>
                <w:lang w:val="zh-CN"/>
              </w:rPr>
              <w:t>confirmation bias</w:t>
            </w:r>
            <w:r>
              <w:rPr>
                <w:rFonts w:hint="default" w:ascii="Times New Roman" w:hAnsi="Times New Roman" w:eastAsia="Times New Roman" w:cs="Times New Roman"/>
                <w:color w:val="000000"/>
                <w:sz w:val="20"/>
                <w:szCs w:val="20"/>
                <w:lang w:val="zh-CN"/>
              </w:rPr>
              <w:t>. Hal ini mengindikasikan bahwa meskipun mahasiswa memiliki literasi keuangan teoretis yang memadai melalui KSPM, tekanan sosial dan keyakinan diri yang berlebih tetap menjadi pendorong utama dalam eksekusi investasi. Implikasi penelitian ini menyarankan perlunya integrasi kurikulum psikologi investasi di Galeri Investasi untuk memitigasi dampak bias kognitif guna menciptakan investor muda yang lebih rasional dan resilien.</w:t>
            </w:r>
          </w:p>
          <w:p w14:paraId="79B580D4">
            <w:pPr>
              <w:pBdr>
                <w:top w:val="none" w:color="auto" w:sz="0" w:space="0"/>
                <w:left w:val="none" w:color="auto" w:sz="0" w:space="0"/>
                <w:bottom w:val="none" w:color="auto" w:sz="0" w:space="0"/>
                <w:right w:val="none" w:color="auto" w:sz="0" w:space="0"/>
                <w:between w:val="none" w:color="auto" w:sz="0" w:space="0"/>
              </w:pBdr>
              <w:spacing w:after="120"/>
              <w:jc w:val="center"/>
              <w:rPr>
                <w:rFonts w:hint="default" w:ascii="Times New Roman" w:hAnsi="Times New Roman" w:eastAsia="Times New Roman" w:cs="Times New Roman"/>
                <w:color w:val="000000"/>
                <w:sz w:val="20"/>
                <w:szCs w:val="20"/>
              </w:rPr>
            </w:pPr>
            <w:r>
              <w:rPr>
                <w:rFonts w:hint="default" w:ascii="Times New Roman" w:hAnsi="Times New Roman" w:eastAsia="Times New Roman" w:cs="Times New Roman"/>
                <w:b/>
                <w:bCs/>
                <w:color w:val="000000"/>
                <w:sz w:val="20"/>
                <w:szCs w:val="20"/>
              </w:rPr>
              <w:t>Abstract</w:t>
            </w:r>
          </w:p>
          <w:p w14:paraId="11543589">
            <w:pPr>
              <w:pBdr>
                <w:top w:val="none" w:color="auto" w:sz="0" w:space="0"/>
                <w:left w:val="none" w:color="auto" w:sz="0" w:space="0"/>
                <w:bottom w:val="none" w:color="auto" w:sz="0" w:space="0"/>
                <w:right w:val="none" w:color="auto" w:sz="0" w:space="0"/>
                <w:between w:val="none" w:color="auto" w:sz="0" w:space="0"/>
              </w:pBdr>
              <w:spacing w:after="120"/>
              <w:jc w:val="both"/>
              <w:rPr>
                <w:rFonts w:hint="default" w:ascii="Times New Roman" w:hAnsi="Times New Roman" w:eastAsia="Times New Roman" w:cs="Times New Roman"/>
                <w:color w:val="000000"/>
                <w:sz w:val="20"/>
                <w:szCs w:val="20"/>
                <w:lang w:val="zh-CN"/>
              </w:rPr>
            </w:pPr>
            <w:bookmarkStart w:id="1" w:name="_GoBack"/>
            <w:r>
              <w:rPr>
                <w:rFonts w:hint="default" w:ascii="Times New Roman" w:hAnsi="Times New Roman" w:eastAsia="Times New Roman" w:cs="Times New Roman"/>
                <w:color w:val="000000"/>
                <w:sz w:val="20"/>
                <w:szCs w:val="20"/>
                <w:lang w:val="zh-CN"/>
              </w:rPr>
              <w:t>This study aims to empirically examine the influence of psychological biases specifically overconfidence, confirmation bias, and herd behavior on investment decision-making among young investors. The research focuses on students affiliated with the Capital Market Study Group (KSPM) at the Investment Gallery of Universitas Nahdlatul Ulama Sidoarjo (UNUSIDA). A causal quantitative approach was employed, with the population consisting of all KSPM members. Using a census (total sampling) technique, a sample of 32 students actively trading in the capital market was selected. Data were collected through structured questionnaires using Likert scales, which underwent rigorous validity and reliability testing. The data were subsequently analyzed using multiple linear regression analysis via statistical software.</w:t>
            </w:r>
          </w:p>
          <w:p w14:paraId="431C4BE3">
            <w:pPr>
              <w:pBdr>
                <w:top w:val="none" w:color="auto" w:sz="0" w:space="0"/>
                <w:left w:val="none" w:color="auto" w:sz="0" w:space="0"/>
                <w:bottom w:val="none" w:color="auto" w:sz="0" w:space="0"/>
                <w:right w:val="none" w:color="auto" w:sz="0" w:space="0"/>
                <w:between w:val="none" w:color="auto" w:sz="0" w:space="0"/>
              </w:pBdr>
              <w:spacing w:after="120"/>
              <w:jc w:val="both"/>
              <w:rPr>
                <w:rFonts w:hint="default" w:ascii="Times New Roman" w:hAnsi="Times New Roman" w:eastAsia="Times New Roman" w:cs="Times New Roman"/>
                <w:color w:val="000000"/>
                <w:sz w:val="20"/>
                <w:szCs w:val="20"/>
                <w:lang w:val="zh-CN"/>
              </w:rPr>
            </w:pPr>
            <w:r>
              <w:rPr>
                <w:rFonts w:hint="default" w:ascii="Times New Roman" w:hAnsi="Times New Roman" w:eastAsia="Times New Roman" w:cs="Times New Roman"/>
                <w:color w:val="000000"/>
                <w:sz w:val="20"/>
                <w:szCs w:val="20"/>
                <w:lang w:val="zh-CN"/>
              </w:rPr>
              <w:t>The results indicate that all three variables were found to have a positive and significant impact on investment decisions. A key finding reveals that herd behavior is the most dominant factor in dictating student investment behavior, followed by overconfidence and confirmation bias. This suggests that despite possessing adequate theoretical financial literacy through KSPM, social pressure and excessive self-belief remains the primary drivers in investment execution. The implications of this research suggest the necessity of integrating an investment psychology curriculum within Investment Galleries to mitigate the impact of cognitive biases and foster more rational and resilient young investors.</w:t>
            </w:r>
            <w:bookmarkEnd w:id="1"/>
          </w:p>
        </w:tc>
      </w:tr>
    </w:tbl>
    <w:p w14:paraId="7B1EBA31">
      <w:pPr>
        <w:pBdr>
          <w:top w:val="none" w:color="auto" w:sz="0" w:space="0"/>
          <w:left w:val="none" w:color="auto" w:sz="0" w:space="0"/>
          <w:bottom w:val="none" w:color="auto" w:sz="0" w:space="0"/>
          <w:right w:val="none" w:color="auto" w:sz="0" w:space="0"/>
          <w:between w:val="none" w:color="auto" w:sz="0" w:space="0"/>
        </w:pBdr>
        <w:jc w:val="both"/>
        <w:rPr>
          <w:rFonts w:hint="default" w:ascii="Times New Roman" w:hAnsi="Times New Roman" w:eastAsia="Times New Roman" w:cs="Times New Roman"/>
          <w:b/>
          <w:bCs/>
          <w:color w:val="000000"/>
          <w:sz w:val="18"/>
          <w:szCs w:val="18"/>
        </w:rPr>
      </w:pPr>
    </w:p>
    <w:p w14:paraId="6D309A1B">
      <w:pPr>
        <w:pBdr>
          <w:top w:val="none" w:color="auto" w:sz="0" w:space="0"/>
          <w:left w:val="none" w:color="auto" w:sz="0" w:space="0"/>
          <w:bottom w:val="none" w:color="auto" w:sz="0" w:space="0"/>
          <w:right w:val="none" w:color="auto" w:sz="0" w:space="0"/>
          <w:between w:val="none" w:color="auto" w:sz="0" w:space="0"/>
        </w:pBdr>
        <w:jc w:val="both"/>
        <w:rPr>
          <w:rFonts w:hint="default" w:ascii="Times New Roman" w:hAnsi="Times New Roman" w:eastAsia="Times New Roman" w:cs="Times New Roman"/>
          <w:color w:val="000000"/>
          <w:sz w:val="18"/>
          <w:szCs w:val="18"/>
        </w:rPr>
      </w:pPr>
      <w:r>
        <w:rPr>
          <w:rFonts w:hint="default" w:ascii="Times New Roman" w:hAnsi="Times New Roman" w:eastAsia="Times New Roman" w:cs="Times New Roman"/>
          <w:b/>
          <w:bCs/>
          <w:color w:val="000000"/>
          <w:sz w:val="18"/>
          <w:szCs w:val="18"/>
        </w:rPr>
        <w:t>Kutipan:</w:t>
      </w:r>
      <w:r>
        <w:rPr>
          <w:rFonts w:hint="default" w:ascii="Times New Roman" w:hAnsi="Times New Roman" w:eastAsia="Times New Roman" w:cs="Times New Roman"/>
          <w:color w:val="000000"/>
          <w:sz w:val="18"/>
          <w:szCs w:val="18"/>
        </w:rPr>
        <w:t xml:space="preserve"> Antara Ego dan Bukti Sosial: Perspektif Keuangan Keperilakuan pada Keputusan Investasi di Galeri Investasi UNUSIDA. (n.d.). TALI JAGAD JOURNAL. Retrieved June 2, 2026, from https://journal.unusida.ac.id/index.php/tali-jagad/article/view/2122</w:t>
      </w:r>
    </w:p>
    <w:p w14:paraId="2DBEDB38">
      <w:pPr>
        <w:pBdr>
          <w:top w:val="none" w:color="auto" w:sz="0" w:space="0"/>
          <w:left w:val="none" w:color="auto" w:sz="0" w:space="0"/>
          <w:bottom w:val="none" w:color="auto" w:sz="0" w:space="0"/>
          <w:right w:val="none" w:color="auto" w:sz="0" w:space="0"/>
          <w:between w:val="none" w:color="auto" w:sz="0" w:space="0"/>
        </w:pBdr>
        <w:jc w:val="both"/>
        <w:rPr>
          <w:rFonts w:hint="default" w:ascii="Times New Roman" w:hAnsi="Times New Roman" w:eastAsia="Times New Roman" w:cs="Times New Roman"/>
          <w:color w:val="000000"/>
        </w:rPr>
      </w:pPr>
    </w:p>
    <w:p w14:paraId="0DECC1F2">
      <w:pPr>
        <w:numPr>
          <w:ilvl w:val="0"/>
          <w:numId w:val="1"/>
        </w:numPr>
        <w:pBdr>
          <w:top w:val="none" w:color="auto" w:sz="0" w:space="0"/>
          <w:left w:val="none" w:color="auto" w:sz="0" w:space="0"/>
          <w:bottom w:val="none" w:color="auto" w:sz="0" w:space="0"/>
          <w:right w:val="none" w:color="auto" w:sz="0" w:space="0"/>
          <w:between w:val="none" w:color="auto" w:sz="0" w:space="0"/>
        </w:pBdr>
        <w:spacing w:before="240"/>
        <w:rPr>
          <w:rFonts w:hint="default" w:ascii="Times New Roman" w:hAnsi="Times New Roman" w:eastAsia="Times New Roman" w:cs="Times New Roman"/>
          <w:b/>
          <w:bCs/>
          <w:color w:val="000000"/>
        </w:rPr>
      </w:pPr>
      <w:r>
        <w:rPr>
          <w:rFonts w:hint="default" w:ascii="Times New Roman" w:hAnsi="Times New Roman" w:eastAsia="Times New Roman" w:cs="Times New Roman"/>
          <w:b/>
          <w:bCs/>
          <w:color w:val="000000"/>
        </w:rPr>
        <w:t>Pendahuluan</w:t>
      </w:r>
    </w:p>
    <w:p w14:paraId="432405D2">
      <w:pPr>
        <w:pStyle w:val="20"/>
        <w:spacing w:after="160" w:line="259" w:lineRule="auto"/>
        <w:ind w:left="0" w:firstLine="720"/>
        <w:contextualSpacing w:val="0"/>
        <w:jc w:val="both"/>
        <w:rPr>
          <w:rFonts w:hint="default" w:ascii="Times New Roman" w:hAnsi="Times New Roman" w:cs="Times New Roman"/>
        </w:rPr>
      </w:pPr>
      <w:r>
        <w:rPr>
          <w:rFonts w:hint="default" w:ascii="Times New Roman" w:hAnsi="Times New Roman" w:cs="Times New Roman"/>
        </w:rPr>
        <w:t>Pasar modal Indonesia telah mengalami transformasi signifikan dalam lima tahun terakhir, ditandai dengan lonjakan jumlah investor ritel yang sangat pesat. Berdasarkan data Kustodian Sentral Efek Indonesia (KSEI), dominasi investor kini beralih ke generasi muda, khususnya Gen Z dan Milenial, yang mencakup lebih dari 80% dari total investor domestik. Namun, pertumbuhan kuantitas ini tidak selalu dibarengi dengan kualitas literasi keuangan yang memadai. Banyak investor pemula terjun ke pasar saham tanpa bekal analisis fundamental maupun teknikal yang kuat, sehingga cenderung bergantung pada aspek psikologis dan emosional dalam mengambil keputusan investasi.</w:t>
      </w:r>
    </w:p>
    <w:p w14:paraId="4B2B9962">
      <w:pPr>
        <w:pStyle w:val="20"/>
        <w:spacing w:after="160" w:line="259" w:lineRule="auto"/>
        <w:ind w:left="0" w:firstLine="720"/>
        <w:contextualSpacing w:val="0"/>
        <w:jc w:val="both"/>
        <w:rPr>
          <w:rFonts w:hint="default" w:ascii="Times New Roman" w:hAnsi="Times New Roman" w:cs="Times New Roman"/>
        </w:rPr>
      </w:pPr>
      <w:r>
        <w:rPr>
          <w:rFonts w:hint="default" w:ascii="Times New Roman" w:hAnsi="Times New Roman" w:cs="Times New Roman"/>
        </w:rPr>
        <w:t xml:space="preserve">Fenomena ini menarik untuk dikaji melalui kacamata </w:t>
      </w:r>
      <w:r>
        <w:rPr>
          <w:rFonts w:hint="default" w:ascii="Times New Roman" w:hAnsi="Times New Roman" w:cs="Times New Roman"/>
          <w:i/>
          <w:iCs/>
        </w:rPr>
        <w:t>behavioral finance</w:t>
      </w:r>
      <w:r>
        <w:rPr>
          <w:rFonts w:hint="default" w:ascii="Times New Roman" w:hAnsi="Times New Roman" w:cs="Times New Roman"/>
        </w:rPr>
        <w:t xml:space="preserve"> (keuangan keperilakuan). Teori keuangan standar berasumsi bahwa manusia adalah makhluk rasional (</w:t>
      </w:r>
      <w:r>
        <w:rPr>
          <w:rFonts w:hint="default" w:ascii="Times New Roman" w:hAnsi="Times New Roman" w:cs="Times New Roman"/>
          <w:i/>
          <w:iCs/>
        </w:rPr>
        <w:t>Homo Economicus</w:t>
      </w:r>
      <w:r>
        <w:rPr>
          <w:rFonts w:hint="default" w:ascii="Times New Roman" w:hAnsi="Times New Roman" w:cs="Times New Roman"/>
        </w:rPr>
        <w:t>) yang selalu memaksimalkan utilitas. Namun, dalam realitasnya, pengambilan keputusan seringkali menyimpang dari prinsip rasionalitas akibat adanya bias kognitif. Galeri Investasi BEI di universitas, seperti yang ada di Universitas Nahdlatul Ulama Sidoarjo (UNUSIDA), menjadi garda terdepan dalam mengenalkan pasar modal kepada mahasiswa. Mahasiswa yang tergabung dalam Kelompok Studi Pasar Modal (KSPM) diasumsikan memiliki pengetahuan lebih baik, namun   tetaplah individu muda yang rentan terhadap tekanan psikologis pasar.</w:t>
      </w:r>
    </w:p>
    <w:p w14:paraId="1368F602">
      <w:pPr>
        <w:pStyle w:val="20"/>
        <w:spacing w:after="160" w:line="259" w:lineRule="auto"/>
        <w:ind w:left="0" w:firstLine="720"/>
        <w:contextualSpacing w:val="0"/>
        <w:jc w:val="both"/>
        <w:rPr>
          <w:rFonts w:hint="default" w:ascii="Times New Roman" w:hAnsi="Times New Roman" w:cs="Times New Roman"/>
        </w:rPr>
      </w:pPr>
      <w:r>
        <w:rPr>
          <w:rFonts w:hint="default" w:ascii="Times New Roman" w:hAnsi="Times New Roman" w:cs="Times New Roman"/>
        </w:rPr>
        <w:t xml:space="preserve">Salah satu bias yang paling menonjol adalah </w:t>
      </w:r>
      <w:r>
        <w:rPr>
          <w:rFonts w:hint="default" w:ascii="Times New Roman" w:hAnsi="Times New Roman" w:cs="Times New Roman"/>
          <w:i/>
          <w:iCs/>
        </w:rPr>
        <w:t>overconfidence</w:t>
      </w:r>
      <w:r>
        <w:rPr>
          <w:rFonts w:hint="default" w:ascii="Times New Roman" w:hAnsi="Times New Roman" w:cs="Times New Roman"/>
        </w:rPr>
        <w:t>. Investor yang memiliki tingkat kepercayaan diri berlebih cenderung merasa pengetahuan dan kemampuannya dalam memprediksi arah pasar lebih unggul dibandingkan kenyataan yang ada. Pada mahasiswa KSPM, paparan edukasi yang intensif terkadang justru memicu perasaan "paling tahu", yang berujung pada perdagangan yang terlalu frekuen (</w:t>
      </w:r>
      <w:r>
        <w:rPr>
          <w:rFonts w:hint="default" w:ascii="Times New Roman" w:hAnsi="Times New Roman" w:cs="Times New Roman"/>
          <w:i/>
          <w:iCs/>
        </w:rPr>
        <w:t>excessive trading</w:t>
      </w:r>
      <w:r>
        <w:rPr>
          <w:rFonts w:hint="default" w:ascii="Times New Roman" w:hAnsi="Times New Roman" w:cs="Times New Roman"/>
        </w:rPr>
        <w:t xml:space="preserve">) dan pengambilan risiko yang tidak terukur. Beberapa penelitian menunjukkan bahwa </w:t>
      </w:r>
      <w:r>
        <w:rPr>
          <w:rFonts w:hint="default" w:ascii="Times New Roman" w:hAnsi="Times New Roman" w:cs="Times New Roman"/>
          <w:i/>
          <w:iCs/>
        </w:rPr>
        <w:t>overconfidence</w:t>
      </w:r>
      <w:r>
        <w:rPr>
          <w:rFonts w:hint="default" w:ascii="Times New Roman" w:hAnsi="Times New Roman" w:cs="Times New Roman"/>
        </w:rPr>
        <w:t xml:space="preserve"> dapat berdampak positif pada keberanian berinvestasi, namun mayoritas literasi menyebutkan bias ini sering kali merugikan karena mengabaikan risiko objektif.</w:t>
      </w:r>
    </w:p>
    <w:p w14:paraId="270E72B5">
      <w:pPr>
        <w:pStyle w:val="20"/>
        <w:spacing w:after="160" w:line="259" w:lineRule="auto"/>
        <w:ind w:left="0" w:firstLine="720"/>
        <w:contextualSpacing w:val="0"/>
        <w:jc w:val="both"/>
        <w:rPr>
          <w:rFonts w:hint="default" w:ascii="Times New Roman" w:hAnsi="Times New Roman" w:cs="Times New Roman"/>
        </w:rPr>
      </w:pPr>
      <w:r>
        <w:rPr>
          <w:rFonts w:hint="default" w:ascii="Times New Roman" w:hAnsi="Times New Roman" w:cs="Times New Roman"/>
        </w:rPr>
        <w:t xml:space="preserve">Selain kepercayaan diri, </w:t>
      </w:r>
      <w:r>
        <w:rPr>
          <w:rFonts w:hint="default" w:ascii="Times New Roman" w:hAnsi="Times New Roman" w:cs="Times New Roman"/>
          <w:i/>
          <w:iCs/>
        </w:rPr>
        <w:t>confirmation bias</w:t>
      </w:r>
      <w:r>
        <w:rPr>
          <w:rFonts w:hint="default" w:ascii="Times New Roman" w:hAnsi="Times New Roman" w:cs="Times New Roman"/>
        </w:rPr>
        <w:t xml:space="preserve"> juga menjadi faktor krusial dalam keputusan investasi mahasiswa. Bias ini terjadi ketika seorang investor hanya mencari, menyukai, dan mengingat informasi yang mendukung opini atau keputusan yang telah diambilnya, sembari mengabaikan informasi yang bertentangan. Di era digital, algoritma media sosial sering kali memperparah kondisi ini dengan menciptakan "ruang gema" (</w:t>
      </w:r>
      <w:r>
        <w:rPr>
          <w:rFonts w:hint="default" w:ascii="Times New Roman" w:hAnsi="Times New Roman" w:cs="Times New Roman"/>
          <w:i/>
          <w:iCs/>
        </w:rPr>
        <w:t>echo chambers</w:t>
      </w:r>
      <w:r>
        <w:rPr>
          <w:rFonts w:hint="default" w:ascii="Times New Roman" w:hAnsi="Times New Roman" w:cs="Times New Roman"/>
        </w:rPr>
        <w:t>). Mahasiswa KSPM yang sudah memiliki preferensi terhadap saham tertentu cenderung hanya membaca berita positif mengenai saham tersebut, sehingga keputusan   menjadi tidak objektif dan terjebak dalam sentimen personal.</w:t>
      </w:r>
    </w:p>
    <w:p w14:paraId="0C0C6395">
      <w:pPr>
        <w:pStyle w:val="20"/>
        <w:spacing w:after="160" w:line="259" w:lineRule="auto"/>
        <w:ind w:left="0" w:firstLine="720"/>
        <w:contextualSpacing w:val="0"/>
        <w:jc w:val="both"/>
        <w:rPr>
          <w:rFonts w:hint="default" w:ascii="Times New Roman" w:hAnsi="Times New Roman" w:cs="Times New Roman"/>
        </w:rPr>
      </w:pPr>
      <w:r>
        <w:rPr>
          <w:rFonts w:hint="default" w:ascii="Times New Roman" w:hAnsi="Times New Roman" w:cs="Times New Roman"/>
        </w:rPr>
        <w:t xml:space="preserve">Faktor eksternal yang tidak kalah kuat pengaruhnya adalah </w:t>
      </w:r>
      <w:r>
        <w:rPr>
          <w:rFonts w:hint="default" w:ascii="Times New Roman" w:hAnsi="Times New Roman" w:cs="Times New Roman"/>
          <w:i/>
          <w:iCs/>
        </w:rPr>
        <w:t>herd behavior</w:t>
      </w:r>
      <w:r>
        <w:rPr>
          <w:rFonts w:hint="default" w:ascii="Times New Roman" w:hAnsi="Times New Roman" w:cs="Times New Roman"/>
        </w:rPr>
        <w:t xml:space="preserve"> atau perilaku ikut-ikutan. Pada lingkungan kampus dan organisasi seperti KSPM, interaksi sosial antar anggota sangat tinggi. Kecenderungan untuk mengikuti keputusan mayoritas kelompok seringkali didorong oleh rasa takut ketinggalan momen atau </w:t>
      </w:r>
      <w:r>
        <w:rPr>
          <w:rFonts w:hint="default" w:ascii="Times New Roman" w:hAnsi="Times New Roman" w:cs="Times New Roman"/>
          <w:i/>
          <w:iCs/>
        </w:rPr>
        <w:t>Fear of Missing Out</w:t>
      </w:r>
      <w:r>
        <w:rPr>
          <w:rFonts w:hint="default" w:ascii="Times New Roman" w:hAnsi="Times New Roman" w:cs="Times New Roman"/>
        </w:rPr>
        <w:t xml:space="preserve"> (FOMO) membuat mahasiswa mengabaikan analisis pribadi. Ketika satu atau dua tokoh berpengaruh di KSPM membeli saham tertentu, anggota lainnya cenderung mengekor tanpa melakukan verifikasi ulang. Perilaku ini sangat berbahaya karena dapat menciptakan penggelembungan harga (</w:t>
      </w:r>
      <w:r>
        <w:rPr>
          <w:rFonts w:hint="default" w:ascii="Times New Roman" w:hAnsi="Times New Roman" w:cs="Times New Roman"/>
          <w:i/>
          <w:iCs/>
        </w:rPr>
        <w:t>bubble</w:t>
      </w:r>
      <w:r>
        <w:rPr>
          <w:rFonts w:hint="default" w:ascii="Times New Roman" w:hAnsi="Times New Roman" w:cs="Times New Roman"/>
        </w:rPr>
        <w:t>) yang tidak didasari oleh nilai intrinsik perusahaan.</w:t>
      </w:r>
    </w:p>
    <w:p w14:paraId="39C0CA7F">
      <w:pPr>
        <w:pStyle w:val="20"/>
        <w:spacing w:after="160" w:line="259" w:lineRule="auto"/>
        <w:ind w:left="0" w:firstLine="720"/>
        <w:contextualSpacing w:val="0"/>
        <w:jc w:val="both"/>
        <w:rPr>
          <w:rFonts w:hint="default" w:ascii="Times New Roman" w:hAnsi="Times New Roman" w:cs="Times New Roman"/>
        </w:rPr>
      </w:pPr>
      <w:r>
        <w:rPr>
          <w:rFonts w:hint="default" w:ascii="Times New Roman" w:hAnsi="Times New Roman" w:cs="Times New Roman"/>
        </w:rPr>
        <w:t>Pentingnya meneliti mahasiswa KSPM di UNUSIDA terletak pada karakteristik unik   sebagai representasi investor terdidik di daerah penyangga industri seperti Sidoarjo. Sebagai mahasiswa di universitas berbasis nilai-nilai nahdliyin, terdapat potensi tarik-menarik antara rasionalitas akademis, etika investasi, dan bias psikologis. Meskipun   mendapatkan pelatihan resmi dari Bursa Efek Indonesia, praktik di lapangan seringkali menunjukkan bahwa emosi lebih dominan daripada teori yang dipelajari di kelas. Memahami bagaimana bias-bias ini bekerja pada kelompok teredukasi akan memberikan gambaran efektivitas edukasi pasar modal di lingkungan perguruan tinggi.</w:t>
      </w:r>
    </w:p>
    <w:p w14:paraId="65B3623A">
      <w:pPr>
        <w:pStyle w:val="20"/>
        <w:spacing w:after="160" w:line="259" w:lineRule="auto"/>
        <w:ind w:left="0" w:firstLine="720"/>
        <w:jc w:val="both"/>
        <w:rPr>
          <w:rFonts w:hint="default" w:ascii="Times New Roman" w:hAnsi="Times New Roman" w:cs="Times New Roman"/>
        </w:rPr>
      </w:pPr>
      <w:r>
        <w:rPr>
          <w:rFonts w:hint="default" w:ascii="Times New Roman" w:hAnsi="Times New Roman" w:cs="Times New Roman"/>
        </w:rPr>
        <w:t>Penelitian mengenai keuangan keperilakuan telah banyak dilakukan, namun terdapat ketidakkonsistenan hasil (</w:t>
      </w:r>
      <w:r>
        <w:rPr>
          <w:rFonts w:hint="default" w:ascii="Times New Roman" w:hAnsi="Times New Roman" w:cs="Times New Roman"/>
          <w:i/>
          <w:iCs/>
        </w:rPr>
        <w:t>research gap</w:t>
      </w:r>
      <w:r>
        <w:rPr>
          <w:rFonts w:hint="default" w:ascii="Times New Roman" w:hAnsi="Times New Roman" w:cs="Times New Roman"/>
        </w:rPr>
        <w:t xml:space="preserve">) yang menjadi landasan penelitian ini. Beberapa studi (misalnya: Sari et al., 2022) menemukan bahwa </w:t>
      </w:r>
      <w:r>
        <w:rPr>
          <w:rFonts w:hint="default" w:ascii="Times New Roman" w:hAnsi="Times New Roman" w:cs="Times New Roman"/>
          <w:i/>
          <w:iCs/>
        </w:rPr>
        <w:t>overconfidence</w:t>
      </w:r>
      <w:r>
        <w:rPr>
          <w:rFonts w:hint="default" w:ascii="Times New Roman" w:hAnsi="Times New Roman" w:cs="Times New Roman"/>
        </w:rPr>
        <w:t xml:space="preserve"> berpengaruh signifikan, sementara studi lain (Pradana &amp; Wijayanti, 2023) menunjukkan hasil sebaliknya. Demikian pula dengan </w:t>
      </w:r>
      <w:r>
        <w:rPr>
          <w:rFonts w:hint="default" w:ascii="Times New Roman" w:hAnsi="Times New Roman" w:cs="Times New Roman"/>
          <w:i/>
          <w:iCs/>
        </w:rPr>
        <w:t>herd behavior</w:t>
      </w:r>
      <w:r>
        <w:rPr>
          <w:rFonts w:hint="default" w:ascii="Times New Roman" w:hAnsi="Times New Roman" w:cs="Times New Roman"/>
        </w:rPr>
        <w:t>, yang pengaruhnya ditemukan bervariasi tergantung pada tingkat literasi keuangan dan pengalaman trading subjek penelitian. Perbedaan hasil ini menunjukkan bahwa faktor konteks wilayah, latar belakang pendidikan, dan lingkungan sosial sangat menentukan bagaimana bias kognitif bermanifestasi dalam keputusan keuangan.</w:t>
      </w:r>
    </w:p>
    <w:p w14:paraId="7C0C4E2C">
      <w:pPr>
        <w:pStyle w:val="20"/>
        <w:spacing w:after="160" w:line="259" w:lineRule="auto"/>
        <w:ind w:left="0" w:firstLine="720"/>
        <w:jc w:val="both"/>
        <w:rPr>
          <w:rFonts w:hint="default" w:ascii="Times New Roman" w:hAnsi="Times New Roman" w:cs="Times New Roman"/>
        </w:rPr>
      </w:pPr>
      <w:r>
        <w:rPr>
          <w:rFonts w:hint="default" w:ascii="Times New Roman" w:hAnsi="Times New Roman" w:cs="Times New Roman"/>
        </w:rPr>
        <w:t xml:space="preserve">Berdasarkan uraian di atas, penelitian ini bertujuan untuk mengisi celah literatur dengan menguji kembali pengaruh </w:t>
      </w:r>
      <w:r>
        <w:rPr>
          <w:rFonts w:hint="default" w:ascii="Times New Roman" w:hAnsi="Times New Roman" w:cs="Times New Roman"/>
          <w:i/>
          <w:iCs/>
        </w:rPr>
        <w:t>overconfidence</w:t>
      </w:r>
      <w:r>
        <w:rPr>
          <w:rFonts w:hint="default" w:ascii="Times New Roman" w:hAnsi="Times New Roman" w:cs="Times New Roman"/>
        </w:rPr>
        <w:t xml:space="preserve">, </w:t>
      </w:r>
      <w:r>
        <w:rPr>
          <w:rFonts w:hint="default" w:ascii="Times New Roman" w:hAnsi="Times New Roman" w:cs="Times New Roman"/>
          <w:i/>
          <w:iCs/>
        </w:rPr>
        <w:t>confirmation bias</w:t>
      </w:r>
      <w:r>
        <w:rPr>
          <w:rFonts w:hint="default" w:ascii="Times New Roman" w:hAnsi="Times New Roman" w:cs="Times New Roman"/>
        </w:rPr>
        <w:t xml:space="preserve">, dan </w:t>
      </w:r>
      <w:r>
        <w:rPr>
          <w:rFonts w:hint="default" w:ascii="Times New Roman" w:hAnsi="Times New Roman" w:cs="Times New Roman"/>
          <w:i/>
          <w:iCs/>
        </w:rPr>
        <w:t>herd behavior</w:t>
      </w:r>
      <w:r>
        <w:rPr>
          <w:rFonts w:hint="default" w:ascii="Times New Roman" w:hAnsi="Times New Roman" w:cs="Times New Roman"/>
        </w:rPr>
        <w:t xml:space="preserve"> secara simultan maupun parsial pada mahasiswa KSPM UNUSIDA. Fokus pada mahasiswa KSPM memberikan kebaruan karena   adalah subjek yang memiliki akses informasi tinggi namun pengalaman pasar yang masih terbatas. Hasil penelitian ini diharapkan dapat memberikan rekomendasi bagi Galeri Investasi dan Bursa Efek Indonesia dalam menyusun strategi edukasi yang tidak hanya fokus pada aspek teknis, tetapi juga pada pengelolaan psikologi investor guna menciptakan pasar modal yang lebih stabil dan rasional.</w:t>
      </w:r>
    </w:p>
    <w:p w14:paraId="07C6F753">
      <w:pPr>
        <w:numPr>
          <w:ilvl w:val="0"/>
          <w:numId w:val="1"/>
        </w:numPr>
        <w:pBdr>
          <w:top w:val="none" w:color="auto" w:sz="0" w:space="0"/>
          <w:left w:val="none" w:color="auto" w:sz="0" w:space="0"/>
          <w:bottom w:val="none" w:color="auto" w:sz="0" w:space="0"/>
          <w:right w:val="none" w:color="auto" w:sz="0" w:space="0"/>
          <w:between w:val="none" w:color="auto" w:sz="0" w:space="0"/>
        </w:pBdr>
        <w:spacing w:before="240"/>
        <w:rPr>
          <w:rFonts w:hint="default" w:ascii="Times New Roman" w:hAnsi="Times New Roman" w:eastAsia="Times New Roman" w:cs="Times New Roman"/>
          <w:b/>
          <w:bCs/>
          <w:color w:val="000000"/>
        </w:rPr>
      </w:pPr>
      <w:r>
        <w:rPr>
          <w:rFonts w:hint="default" w:ascii="Times New Roman" w:hAnsi="Times New Roman" w:eastAsia="Times New Roman" w:cs="Times New Roman"/>
          <w:b/>
          <w:bCs/>
          <w:color w:val="000000"/>
        </w:rPr>
        <w:t>Metode</w:t>
      </w:r>
    </w:p>
    <w:p w14:paraId="3CD7895D">
      <w:pPr>
        <w:pStyle w:val="13"/>
        <w:spacing w:before="0" w:beforeAutospacing="0" w:after="160" w:afterAutospacing="0"/>
        <w:ind w:firstLine="720"/>
        <w:jc w:val="both"/>
        <w:rPr>
          <w:rFonts w:hint="default" w:ascii="Times New Roman" w:hAnsi="Times New Roman" w:cs="Times New Roman"/>
          <w:sz w:val="22"/>
          <w:szCs w:val="22"/>
        </w:rPr>
      </w:pPr>
      <w:r>
        <w:rPr>
          <w:rFonts w:hint="default" w:ascii="Times New Roman" w:hAnsi="Times New Roman" w:cs="Times New Roman"/>
          <w:sz w:val="22"/>
          <w:szCs w:val="22"/>
        </w:rPr>
        <w:t xml:space="preserve">Penelitian ini menggunakan pendekatan kuantitatif dengan desain asosiatif kausal yang bertujuan untuk menganalisis hubungan sebab-akibat antara variabel psikologis dan keputusan keuangan. Variabel independen dalam studi ini meliputi </w:t>
      </w:r>
      <w:r>
        <w:rPr>
          <w:rFonts w:hint="default" w:ascii="Times New Roman" w:hAnsi="Times New Roman" w:cs="Times New Roman"/>
          <w:i/>
          <w:iCs/>
          <w:sz w:val="22"/>
          <w:szCs w:val="22"/>
        </w:rPr>
        <w:t>overconfidence</w:t>
      </w:r>
      <w:r>
        <w:rPr>
          <w:rFonts w:hint="default" w:ascii="Times New Roman" w:hAnsi="Times New Roman" w:cs="Times New Roman"/>
          <w:sz w:val="22"/>
          <w:szCs w:val="22"/>
        </w:rPr>
        <w:t xml:space="preserve"> (</w:t>
      </w:r>
      <w:r>
        <w:rPr>
          <w:rStyle w:val="21"/>
          <w:rFonts w:hint="default" w:ascii="Times New Roman" w:hAnsi="Times New Roman" w:cs="Times New Roman"/>
          <w:sz w:val="22"/>
          <w:szCs w:val="22"/>
        </w:rPr>
        <w:t>X</w:t>
      </w:r>
      <w:r>
        <w:rPr>
          <w:rStyle w:val="21"/>
          <w:rFonts w:hint="default" w:ascii="Times New Roman" w:hAnsi="Times New Roman" w:cs="Times New Roman"/>
          <w:sz w:val="22"/>
          <w:szCs w:val="22"/>
          <w:vertAlign w:val="subscript"/>
        </w:rPr>
        <w:t>1</w:t>
      </w:r>
      <w:r>
        <w:rPr>
          <w:rFonts w:hint="default" w:ascii="Times New Roman" w:hAnsi="Times New Roman" w:cs="Times New Roman"/>
          <w:sz w:val="22"/>
          <w:szCs w:val="22"/>
        </w:rPr>
        <w:t xml:space="preserve">), </w:t>
      </w:r>
      <w:r>
        <w:rPr>
          <w:rFonts w:hint="default" w:ascii="Times New Roman" w:hAnsi="Times New Roman" w:cs="Times New Roman"/>
          <w:i/>
          <w:iCs/>
          <w:sz w:val="22"/>
          <w:szCs w:val="22"/>
        </w:rPr>
        <w:t>confirmation bias</w:t>
      </w:r>
      <w:r>
        <w:rPr>
          <w:rFonts w:hint="default" w:ascii="Times New Roman" w:hAnsi="Times New Roman" w:cs="Times New Roman"/>
          <w:sz w:val="22"/>
          <w:szCs w:val="22"/>
        </w:rPr>
        <w:t xml:space="preserve"> (</w:t>
      </w:r>
      <w:r>
        <w:rPr>
          <w:rStyle w:val="21"/>
          <w:rFonts w:hint="default" w:ascii="Times New Roman" w:hAnsi="Times New Roman" w:cs="Times New Roman"/>
          <w:sz w:val="22"/>
          <w:szCs w:val="22"/>
        </w:rPr>
        <w:t>X</w:t>
      </w:r>
      <w:r>
        <w:rPr>
          <w:rStyle w:val="21"/>
          <w:rFonts w:hint="default" w:ascii="Times New Roman" w:hAnsi="Times New Roman" w:cs="Times New Roman"/>
          <w:sz w:val="22"/>
          <w:szCs w:val="22"/>
          <w:vertAlign w:val="subscript"/>
        </w:rPr>
        <w:t>2</w:t>
      </w:r>
      <w:r>
        <w:rPr>
          <w:rFonts w:hint="default" w:ascii="Times New Roman" w:hAnsi="Times New Roman" w:cs="Times New Roman"/>
          <w:sz w:val="22"/>
          <w:szCs w:val="22"/>
        </w:rPr>
        <w:t xml:space="preserve">), dan </w:t>
      </w:r>
      <w:r>
        <w:rPr>
          <w:rFonts w:hint="default" w:ascii="Times New Roman" w:hAnsi="Times New Roman" w:cs="Times New Roman"/>
          <w:i/>
          <w:iCs/>
          <w:sz w:val="22"/>
          <w:szCs w:val="22"/>
        </w:rPr>
        <w:t>herd behavior</w:t>
      </w:r>
      <w:r>
        <w:rPr>
          <w:rFonts w:hint="default" w:ascii="Times New Roman" w:hAnsi="Times New Roman" w:cs="Times New Roman"/>
          <w:sz w:val="22"/>
          <w:szCs w:val="22"/>
        </w:rPr>
        <w:t xml:space="preserve"> (</w:t>
      </w:r>
      <w:r>
        <w:rPr>
          <w:rStyle w:val="21"/>
          <w:rFonts w:hint="default" w:ascii="Times New Roman" w:hAnsi="Times New Roman" w:cs="Times New Roman"/>
          <w:sz w:val="22"/>
          <w:szCs w:val="22"/>
        </w:rPr>
        <w:t>X</w:t>
      </w:r>
      <w:r>
        <w:rPr>
          <w:rStyle w:val="21"/>
          <w:rFonts w:hint="default" w:ascii="Times New Roman" w:hAnsi="Times New Roman" w:cs="Times New Roman"/>
          <w:sz w:val="22"/>
          <w:szCs w:val="22"/>
          <w:vertAlign w:val="subscript"/>
        </w:rPr>
        <w:t>3</w:t>
      </w:r>
      <w:r>
        <w:rPr>
          <w:rFonts w:hint="default" w:ascii="Times New Roman" w:hAnsi="Times New Roman" w:cs="Times New Roman"/>
          <w:sz w:val="22"/>
          <w:szCs w:val="22"/>
        </w:rPr>
        <w:t>), sedangkan variabel dependen adalah pengambilan keputusan investasi (</w:t>
      </w:r>
      <w:r>
        <w:rPr>
          <w:rStyle w:val="21"/>
          <w:rFonts w:hint="default" w:ascii="Times New Roman" w:hAnsi="Times New Roman" w:cs="Times New Roman"/>
          <w:sz w:val="22"/>
          <w:szCs w:val="22"/>
        </w:rPr>
        <w:t>Y</w:t>
      </w:r>
      <w:r>
        <w:rPr>
          <w:rFonts w:hint="default" w:ascii="Times New Roman" w:hAnsi="Times New Roman" w:cs="Times New Roman"/>
          <w:sz w:val="22"/>
          <w:szCs w:val="22"/>
        </w:rPr>
        <w:t>). Melalui pendekatan ini, peneliti berupaya menguji hipotesis secara empiris untuk menentukan sejauh mana bias kognitif dan perilaku kelompok mendominasi rasionalitas mahasiswa dalam bertransaksi di pasar modal (Sari et al., 2022).</w:t>
      </w:r>
    </w:p>
    <w:p w14:paraId="18F30219">
      <w:pPr>
        <w:pStyle w:val="13"/>
        <w:spacing w:before="0" w:beforeAutospacing="0" w:after="160" w:afterAutospacing="0"/>
        <w:ind w:firstLine="720"/>
        <w:jc w:val="both"/>
        <w:rPr>
          <w:rFonts w:hint="default" w:ascii="Times New Roman" w:hAnsi="Times New Roman" w:cs="Times New Roman"/>
          <w:sz w:val="22"/>
          <w:szCs w:val="22"/>
        </w:rPr>
      </w:pPr>
      <w:r>
        <w:rPr>
          <w:rFonts w:hint="default" w:ascii="Times New Roman" w:hAnsi="Times New Roman" w:cs="Times New Roman"/>
          <w:sz w:val="22"/>
          <w:szCs w:val="22"/>
        </w:rPr>
        <w:t xml:space="preserve">Populasi penelitian mencakup seluruh mahasiswa aktif yang tergabung dalam Kelompok Studi Pasar Modal (KSPM) di Galeri Investasi Universitas Nahdlatul Ulama Sidoarjo (UNUSIDA) berjumlah 32 Mahasiswa. Teknik pengambilan sampel yang diterapkan adalah </w:t>
      </w:r>
      <w:r>
        <w:rPr>
          <w:rFonts w:hint="default" w:ascii="Times New Roman" w:hAnsi="Times New Roman" w:cs="Times New Roman"/>
          <w:i/>
          <w:iCs/>
          <w:sz w:val="22"/>
          <w:szCs w:val="22"/>
        </w:rPr>
        <w:t>non probability sampling</w:t>
      </w:r>
      <w:r>
        <w:rPr>
          <w:rFonts w:hint="default" w:ascii="Times New Roman" w:hAnsi="Times New Roman" w:cs="Times New Roman"/>
          <w:sz w:val="22"/>
          <w:szCs w:val="22"/>
        </w:rPr>
        <w:t>, di mana seluruh anggota populasi dijadikan responden mengingat jumlah anggota KSPM yang bersifat spesifik dan terbatas. Pemilihan subjek ini didasarkan pada asumsi bahwa mahasiswa KSPM memiliki keterlibatan langsung dan intensitas interaksi yang tinggi dengan dinamika pasar saham dibandingkan mahasiswa umum (Putra &amp; Rahmawati, 2024).</w:t>
      </w:r>
    </w:p>
    <w:p w14:paraId="2C8BD801">
      <w:pPr>
        <w:pStyle w:val="13"/>
        <w:spacing w:before="0" w:beforeAutospacing="0" w:after="160" w:afterAutospacing="0"/>
        <w:ind w:firstLine="720"/>
        <w:jc w:val="both"/>
        <w:rPr>
          <w:rFonts w:hint="default" w:ascii="Times New Roman" w:hAnsi="Times New Roman" w:cs="Times New Roman"/>
          <w:sz w:val="22"/>
          <w:szCs w:val="22"/>
        </w:rPr>
      </w:pPr>
      <w:r>
        <w:rPr>
          <w:rFonts w:hint="default" w:ascii="Times New Roman" w:hAnsi="Times New Roman" w:cs="Times New Roman"/>
          <w:sz w:val="22"/>
          <w:szCs w:val="22"/>
        </w:rPr>
        <w:t xml:space="preserve">Data primer dikumpulkan melalui penyebaran kuesioner terstruktur dengan menggunakan skala Likert 1-5 untuk mengukur persepsi responden. Instrumen penelitian dikembangkan dari indikator-indikator yang telah divalidasi dalam literatur keuangan keperilakuan, seperti keyakinan berlebih pada kemampuan prediksi untuk </w:t>
      </w:r>
      <w:r>
        <w:rPr>
          <w:rFonts w:hint="default" w:ascii="Times New Roman" w:hAnsi="Times New Roman" w:cs="Times New Roman"/>
          <w:i/>
          <w:iCs/>
          <w:sz w:val="22"/>
          <w:szCs w:val="22"/>
        </w:rPr>
        <w:t>overconfidence</w:t>
      </w:r>
      <w:r>
        <w:rPr>
          <w:rFonts w:hint="default" w:ascii="Times New Roman" w:hAnsi="Times New Roman" w:cs="Times New Roman"/>
          <w:sz w:val="22"/>
          <w:szCs w:val="22"/>
        </w:rPr>
        <w:t xml:space="preserve">, kecenderungan mencari informasi pendukung untuk </w:t>
      </w:r>
      <w:r>
        <w:rPr>
          <w:rFonts w:hint="default" w:ascii="Times New Roman" w:hAnsi="Times New Roman" w:cs="Times New Roman"/>
          <w:i/>
          <w:iCs/>
          <w:sz w:val="22"/>
          <w:szCs w:val="22"/>
        </w:rPr>
        <w:t>confirmation bias</w:t>
      </w:r>
      <w:r>
        <w:rPr>
          <w:rFonts w:hint="default" w:ascii="Times New Roman" w:hAnsi="Times New Roman" w:cs="Times New Roman"/>
          <w:sz w:val="22"/>
          <w:szCs w:val="22"/>
        </w:rPr>
        <w:t xml:space="preserve">, dan frekuensi mengikuti tren pasar untuk </w:t>
      </w:r>
      <w:r>
        <w:rPr>
          <w:rFonts w:hint="default" w:ascii="Times New Roman" w:hAnsi="Times New Roman" w:cs="Times New Roman"/>
          <w:i/>
          <w:iCs/>
          <w:sz w:val="22"/>
          <w:szCs w:val="22"/>
        </w:rPr>
        <w:t>herd behavior</w:t>
      </w:r>
      <w:r>
        <w:rPr>
          <w:rFonts w:hint="default" w:ascii="Times New Roman" w:hAnsi="Times New Roman" w:cs="Times New Roman"/>
          <w:sz w:val="22"/>
          <w:szCs w:val="22"/>
        </w:rPr>
        <w:t xml:space="preserve">. Sebelum analisis inti dilakukan, instrumen diuji melalui uji validitas dan reliabilitas guna memastikan bahwa butir-butir pertanyaan mampu mengukur fenomena psikologis secara akurat (Fahmi &amp; Syarif, 2023). Teknik analisis data yang digunakan adalah analisis regresi linear berganda untuk menguji pengaruh variabel secara parsial (uji t). Sebelum pengujian hipotesis, model penelitian wajib melewati uji asumsi klasik yang meliputi uji normalitas, multikolinieritas, dan heteroskedastisitas. </w:t>
      </w:r>
    </w:p>
    <w:p w14:paraId="7E63C55C">
      <w:pPr>
        <w:numPr>
          <w:ilvl w:val="0"/>
          <w:numId w:val="1"/>
        </w:numPr>
        <w:pBdr>
          <w:top w:val="none" w:color="auto" w:sz="0" w:space="0"/>
          <w:left w:val="none" w:color="auto" w:sz="0" w:space="0"/>
          <w:bottom w:val="none" w:color="auto" w:sz="0" w:space="0"/>
          <w:right w:val="none" w:color="auto" w:sz="0" w:space="0"/>
          <w:between w:val="none" w:color="auto" w:sz="0" w:space="0"/>
        </w:pBdr>
        <w:spacing w:before="240"/>
        <w:rPr>
          <w:rFonts w:hint="default" w:ascii="Times New Roman" w:hAnsi="Times New Roman" w:eastAsia="Times New Roman" w:cs="Times New Roman"/>
          <w:b/>
          <w:bCs/>
          <w:color w:val="000000"/>
        </w:rPr>
      </w:pPr>
      <w:r>
        <w:rPr>
          <w:rFonts w:hint="default" w:ascii="Times New Roman" w:hAnsi="Times New Roman" w:eastAsia="Times New Roman" w:cs="Times New Roman"/>
          <w:b/>
          <w:bCs/>
          <w:color w:val="000000"/>
        </w:rPr>
        <w:t>Hasil dan Pembahasan</w:t>
      </w:r>
    </w:p>
    <w:p w14:paraId="1AF04FA6">
      <w:pPr>
        <w:pBdr>
          <w:top w:val="none" w:color="auto" w:sz="0" w:space="0"/>
          <w:left w:val="none" w:color="auto" w:sz="0" w:space="0"/>
          <w:bottom w:val="none" w:color="auto" w:sz="0" w:space="0"/>
          <w:right w:val="none" w:color="auto" w:sz="0" w:space="0"/>
          <w:between w:val="none" w:color="auto" w:sz="0" w:space="0"/>
        </w:pBdr>
        <w:spacing w:before="240"/>
        <w:ind w:firstLine="720"/>
        <w:jc w:val="both"/>
        <w:rPr>
          <w:rFonts w:hint="default" w:ascii="Times New Roman" w:hAnsi="Times New Roman" w:eastAsia="Times New Roman" w:cs="Times New Roman"/>
          <w:color w:val="000000"/>
          <w:lang w:val="zh-CN"/>
        </w:rPr>
      </w:pPr>
      <w:r>
        <w:rPr>
          <w:rFonts w:hint="default" w:ascii="Times New Roman" w:hAnsi="Times New Roman" w:eastAsia="Times New Roman" w:cs="Times New Roman"/>
          <w:color w:val="000000"/>
          <w:lang w:val="zh-CN"/>
        </w:rPr>
        <w:t xml:space="preserve">Penelitian ini melibatkan 32 responden yang merupakan anggota aktif Kelompok Studi Pasar Modal (KSPM) UNUSIDA yang telah melakukan transaksi riil di pasar modal dengan pengalaman investasi antara 1 hingga 2 tahun. Profil responden menunjukkan bahwa meskipun KSPM telah menerima pelatihan formal di Galeri Investasi, frekuensi transaksi cenderung tinggi, yang mengindikasikan adanya keterlibatan emosional dalam aktivitas pasar modal. Sebelum masuk pada pengujian hipotesis, seluruh data telah dinyatakan lulus uji asumsi klasik, yang berarti model regresi linear berganda dalam penelitian ini bersifat objektif dan tidak bias. Hasil uji instrumen menunjukkan bahwa seluruh butir pernyataan kuesioner valid dengan nilai R_hitung &gt; 0,349 dan reliabel dengan </w:t>
      </w:r>
      <w:r>
        <w:rPr>
          <w:rFonts w:hint="default" w:ascii="Times New Roman" w:hAnsi="Times New Roman" w:eastAsia="Times New Roman" w:cs="Times New Roman"/>
          <w:i/>
          <w:iCs/>
          <w:color w:val="000000"/>
          <w:lang w:val="zh-CN"/>
        </w:rPr>
        <w:t>Cronbach’s Alpha</w:t>
      </w:r>
      <w:r>
        <w:rPr>
          <w:rFonts w:hint="default" w:ascii="Times New Roman" w:hAnsi="Times New Roman" w:eastAsia="Times New Roman" w:cs="Times New Roman"/>
          <w:color w:val="000000"/>
          <w:lang w:val="zh-CN"/>
        </w:rPr>
        <w:t xml:space="preserve"> di atas 0,70. Pengujian asumsi klasik juga mengonfirmasi bahwa data terdistribusi normal dan bebas dari masalah multikolinieritas serta heteroskedastisitas. Berikut adalah ringkasan hasil uji regresi linear berganda:</w:t>
      </w:r>
    </w:p>
    <w:p w14:paraId="130F4E58">
      <w:pPr>
        <w:pBdr>
          <w:top w:val="none" w:color="auto" w:sz="0" w:space="0"/>
          <w:left w:val="none" w:color="auto" w:sz="0" w:space="0"/>
          <w:bottom w:val="none" w:color="auto" w:sz="0" w:space="0"/>
          <w:right w:val="none" w:color="auto" w:sz="0" w:space="0"/>
          <w:between w:val="none" w:color="auto" w:sz="0" w:space="0"/>
        </w:pBdr>
        <w:spacing w:before="240"/>
        <w:jc w:val="both"/>
        <w:rPr>
          <w:rFonts w:hint="default" w:ascii="Times New Roman" w:hAnsi="Times New Roman" w:eastAsia="Times New Roman" w:cs="Times New Roman"/>
          <w:color w:val="000000"/>
          <w:lang w:val="zh-CN"/>
        </w:rPr>
      </w:pPr>
      <w:r>
        <w:rPr>
          <w:rFonts w:hint="default" w:ascii="Times New Roman" w:hAnsi="Times New Roman" w:eastAsia="Times New Roman" w:cs="Times New Roman"/>
          <w:color w:val="000000"/>
          <w:lang w:val="zh-CN"/>
        </w:rPr>
        <w:t>Tabel 1. Ringkasan Hasil Uji Hipotesis (n=32)</w:t>
      </w:r>
    </w:p>
    <w:p w14:paraId="0CA29100">
      <w:pPr>
        <w:pBdr>
          <w:top w:val="none" w:color="auto" w:sz="0" w:space="0"/>
          <w:left w:val="none" w:color="auto" w:sz="0" w:space="0"/>
          <w:bottom w:val="none" w:color="auto" w:sz="0" w:space="0"/>
          <w:right w:val="none" w:color="auto" w:sz="0" w:space="0"/>
          <w:between w:val="none" w:color="auto" w:sz="0" w:space="0"/>
        </w:pBdr>
        <w:spacing w:before="240"/>
        <w:jc w:val="both"/>
        <w:rPr>
          <w:rFonts w:hint="default" w:ascii="Times New Roman" w:hAnsi="Times New Roman" w:eastAsia="Times New Roman" w:cs="Times New Roman"/>
          <w:color w:val="000000"/>
          <w:lang w:val="zh-CN"/>
        </w:rPr>
      </w:pPr>
    </w:p>
    <w:tbl>
      <w:tblPr>
        <w:tblStyle w:val="15"/>
        <w:tblW w:w="8046" w:type="dxa"/>
        <w:tblInd w:w="0" w:type="dxa"/>
        <w:tblBorders>
          <w:top w:val="single" w:color="000000" w:themeColor="text1" w:sz="4" w:space="0"/>
          <w:left w:val="none" w:color="auto" w:sz="0" w:space="0"/>
          <w:bottom w:val="single" w:color="000000" w:themeColor="text1" w:sz="4" w:space="0"/>
          <w:right w:val="none" w:color="auto" w:sz="0" w:space="0"/>
          <w:insideH w:val="single" w:color="000000" w:themeColor="text1" w:sz="4" w:space="0"/>
          <w:insideV w:val="none" w:color="auto" w:sz="0" w:space="0"/>
        </w:tblBorders>
        <w:tblLayout w:type="autofit"/>
        <w:tblCellMar>
          <w:top w:w="0" w:type="dxa"/>
          <w:left w:w="108" w:type="dxa"/>
          <w:bottom w:w="0" w:type="dxa"/>
          <w:right w:w="108" w:type="dxa"/>
        </w:tblCellMar>
      </w:tblPr>
      <w:tblGrid>
        <w:gridCol w:w="2802"/>
        <w:gridCol w:w="850"/>
        <w:gridCol w:w="1134"/>
        <w:gridCol w:w="1276"/>
        <w:gridCol w:w="992"/>
        <w:gridCol w:w="992"/>
      </w:tblGrid>
      <w:tr w14:paraId="193CDA5F">
        <w:tblPrEx>
          <w:tblBorders>
            <w:top w:val="single" w:color="000000" w:themeColor="text1" w:sz="4" w:space="0"/>
            <w:left w:val="none" w:color="auto" w:sz="0" w:space="0"/>
            <w:bottom w:val="single" w:color="000000" w:themeColor="text1" w:sz="4" w:space="0"/>
            <w:right w:val="none" w:color="auto" w:sz="0" w:space="0"/>
            <w:insideH w:val="single" w:color="000000" w:themeColor="text1" w:sz="4" w:space="0"/>
            <w:insideV w:val="none" w:color="auto" w:sz="0" w:space="0"/>
          </w:tblBorders>
          <w:tblCellMar>
            <w:top w:w="0" w:type="dxa"/>
            <w:left w:w="108" w:type="dxa"/>
            <w:bottom w:w="0" w:type="dxa"/>
            <w:right w:w="108" w:type="dxa"/>
          </w:tblCellMar>
        </w:tblPrEx>
        <w:tc>
          <w:tcPr>
            <w:tcW w:w="2802" w:type="dxa"/>
            <w:vMerge w:val="restart"/>
            <w:vAlign w:val="bottom"/>
          </w:tcPr>
          <w:p w14:paraId="5268BC78">
            <w:pPr>
              <w:pStyle w:val="20"/>
              <w:ind w:left="0"/>
              <w:rPr>
                <w:rFonts w:hint="default" w:ascii="Times New Roman" w:hAnsi="Times New Roman" w:cs="Times New Roman" w:eastAsiaTheme="minorHAnsi"/>
                <w:sz w:val="20"/>
                <w:szCs w:val="20"/>
                <w:lang w:val="id-ID" w:eastAsia="en-US"/>
              </w:rPr>
            </w:pPr>
            <w:r>
              <w:rPr>
                <w:rFonts w:hint="default" w:ascii="Times New Roman" w:hAnsi="Times New Roman" w:cs="Times New Roman" w:eastAsiaTheme="minorHAnsi"/>
                <w:sz w:val="20"/>
                <w:szCs w:val="20"/>
                <w:lang w:val="id-ID" w:eastAsia="en-US"/>
              </w:rPr>
              <w:t>Model</w:t>
            </w:r>
          </w:p>
        </w:tc>
        <w:tc>
          <w:tcPr>
            <w:tcW w:w="1984" w:type="dxa"/>
            <w:gridSpan w:val="2"/>
            <w:vAlign w:val="center"/>
          </w:tcPr>
          <w:p w14:paraId="17132ED9">
            <w:pPr>
              <w:pStyle w:val="20"/>
              <w:ind w:left="0"/>
              <w:jc w:val="center"/>
              <w:rPr>
                <w:rFonts w:hint="default" w:ascii="Times New Roman" w:hAnsi="Times New Roman" w:cs="Times New Roman" w:eastAsiaTheme="minorHAnsi"/>
                <w:i/>
                <w:sz w:val="20"/>
                <w:szCs w:val="20"/>
                <w:lang w:val="id-ID" w:eastAsia="en-US"/>
              </w:rPr>
            </w:pPr>
            <w:r>
              <w:rPr>
                <w:rFonts w:hint="default" w:ascii="Times New Roman" w:hAnsi="Times New Roman" w:cs="Times New Roman" w:eastAsiaTheme="minorHAnsi"/>
                <w:i/>
                <w:sz w:val="20"/>
                <w:szCs w:val="20"/>
                <w:lang w:val="id-ID" w:eastAsia="en-US"/>
              </w:rPr>
              <w:t>Unstandardized Coefficients</w:t>
            </w:r>
          </w:p>
        </w:tc>
        <w:tc>
          <w:tcPr>
            <w:tcW w:w="1276" w:type="dxa"/>
            <w:vAlign w:val="center"/>
          </w:tcPr>
          <w:p w14:paraId="55F8F9D9">
            <w:pPr>
              <w:pStyle w:val="20"/>
              <w:ind w:left="0"/>
              <w:jc w:val="center"/>
              <w:rPr>
                <w:rFonts w:hint="default" w:ascii="Times New Roman" w:hAnsi="Times New Roman" w:cs="Times New Roman" w:eastAsiaTheme="minorHAnsi"/>
                <w:i/>
                <w:sz w:val="20"/>
                <w:szCs w:val="20"/>
                <w:lang w:val="id-ID" w:eastAsia="en-US"/>
              </w:rPr>
            </w:pPr>
            <w:r>
              <w:rPr>
                <w:rFonts w:hint="default" w:ascii="Times New Roman" w:hAnsi="Times New Roman" w:cs="Times New Roman" w:eastAsiaTheme="minorHAnsi"/>
                <w:i/>
                <w:sz w:val="20"/>
                <w:szCs w:val="20"/>
                <w:lang w:val="id-ID" w:eastAsia="en-US"/>
              </w:rPr>
              <w:t>Standardized Coefficients</w:t>
            </w:r>
          </w:p>
        </w:tc>
        <w:tc>
          <w:tcPr>
            <w:tcW w:w="992" w:type="dxa"/>
            <w:vMerge w:val="restart"/>
            <w:vAlign w:val="bottom"/>
          </w:tcPr>
          <w:p w14:paraId="4B95CA74">
            <w:pPr>
              <w:pStyle w:val="20"/>
              <w:ind w:left="0"/>
              <w:jc w:val="center"/>
              <w:rPr>
                <w:rFonts w:hint="default" w:ascii="Times New Roman" w:hAnsi="Times New Roman" w:cs="Times New Roman" w:eastAsiaTheme="minorHAnsi"/>
                <w:sz w:val="20"/>
                <w:szCs w:val="20"/>
                <w:lang w:val="id-ID" w:eastAsia="en-US"/>
              </w:rPr>
            </w:pPr>
            <w:r>
              <w:rPr>
                <w:rFonts w:hint="default" w:ascii="Times New Roman" w:hAnsi="Times New Roman" w:cs="Times New Roman" w:eastAsiaTheme="minorHAnsi"/>
                <w:sz w:val="20"/>
                <w:szCs w:val="20"/>
                <w:lang w:val="id-ID" w:eastAsia="en-US"/>
              </w:rPr>
              <w:t>t</w:t>
            </w:r>
          </w:p>
        </w:tc>
        <w:tc>
          <w:tcPr>
            <w:tcW w:w="992" w:type="dxa"/>
            <w:vMerge w:val="restart"/>
            <w:vAlign w:val="bottom"/>
          </w:tcPr>
          <w:p w14:paraId="4C84AF10">
            <w:pPr>
              <w:pStyle w:val="20"/>
              <w:ind w:left="0"/>
              <w:jc w:val="center"/>
              <w:rPr>
                <w:rFonts w:hint="default" w:ascii="Times New Roman" w:hAnsi="Times New Roman" w:cs="Times New Roman" w:eastAsiaTheme="minorHAnsi"/>
                <w:sz w:val="20"/>
                <w:szCs w:val="20"/>
                <w:lang w:val="id-ID" w:eastAsia="en-US"/>
              </w:rPr>
            </w:pPr>
            <w:r>
              <w:rPr>
                <w:rFonts w:hint="default" w:ascii="Times New Roman" w:hAnsi="Times New Roman" w:cs="Times New Roman" w:eastAsiaTheme="minorHAnsi"/>
                <w:sz w:val="20"/>
                <w:szCs w:val="20"/>
                <w:lang w:val="id-ID" w:eastAsia="en-US"/>
              </w:rPr>
              <w:t>Sig.</w:t>
            </w:r>
          </w:p>
        </w:tc>
      </w:tr>
      <w:tr w14:paraId="76BD912F">
        <w:tblPrEx>
          <w:tblBorders>
            <w:top w:val="single" w:color="000000" w:themeColor="text1" w:sz="4" w:space="0"/>
            <w:left w:val="none" w:color="auto" w:sz="0" w:space="0"/>
            <w:bottom w:val="single" w:color="000000" w:themeColor="text1" w:sz="4" w:space="0"/>
            <w:right w:val="none" w:color="auto" w:sz="0" w:space="0"/>
            <w:insideH w:val="single" w:color="000000" w:themeColor="text1" w:sz="4" w:space="0"/>
            <w:insideV w:val="none" w:color="auto" w:sz="0" w:space="0"/>
          </w:tblBorders>
          <w:tblCellMar>
            <w:top w:w="0" w:type="dxa"/>
            <w:left w:w="108" w:type="dxa"/>
            <w:bottom w:w="0" w:type="dxa"/>
            <w:right w:w="108" w:type="dxa"/>
          </w:tblCellMar>
        </w:tblPrEx>
        <w:tc>
          <w:tcPr>
            <w:tcW w:w="2802" w:type="dxa"/>
            <w:vMerge w:val="continue"/>
          </w:tcPr>
          <w:p w14:paraId="4E923505">
            <w:pPr>
              <w:pStyle w:val="20"/>
              <w:ind w:left="0"/>
              <w:jc w:val="both"/>
              <w:rPr>
                <w:rFonts w:hint="default" w:ascii="Times New Roman" w:hAnsi="Times New Roman" w:cs="Times New Roman" w:eastAsiaTheme="minorHAnsi"/>
                <w:sz w:val="20"/>
                <w:szCs w:val="20"/>
                <w:lang w:val="id-ID" w:eastAsia="en-US"/>
              </w:rPr>
            </w:pPr>
          </w:p>
        </w:tc>
        <w:tc>
          <w:tcPr>
            <w:tcW w:w="850" w:type="dxa"/>
            <w:vAlign w:val="bottom"/>
          </w:tcPr>
          <w:p w14:paraId="5A08D7BB">
            <w:pPr>
              <w:pStyle w:val="20"/>
              <w:ind w:left="0"/>
              <w:jc w:val="center"/>
              <w:rPr>
                <w:rFonts w:hint="default" w:ascii="Times New Roman" w:hAnsi="Times New Roman" w:cs="Times New Roman" w:eastAsiaTheme="minorHAnsi"/>
                <w:sz w:val="20"/>
                <w:szCs w:val="20"/>
                <w:lang w:val="id-ID" w:eastAsia="en-US"/>
              </w:rPr>
            </w:pPr>
            <w:r>
              <w:rPr>
                <w:rFonts w:hint="default" w:ascii="Times New Roman" w:hAnsi="Times New Roman" w:cs="Times New Roman" w:eastAsiaTheme="minorHAnsi"/>
                <w:sz w:val="20"/>
                <w:szCs w:val="20"/>
                <w:lang w:val="id-ID" w:eastAsia="en-US"/>
              </w:rPr>
              <w:t>B</w:t>
            </w:r>
          </w:p>
        </w:tc>
        <w:tc>
          <w:tcPr>
            <w:tcW w:w="1134" w:type="dxa"/>
            <w:vAlign w:val="bottom"/>
          </w:tcPr>
          <w:p w14:paraId="204915C0">
            <w:pPr>
              <w:pStyle w:val="20"/>
              <w:ind w:left="0"/>
              <w:jc w:val="center"/>
              <w:rPr>
                <w:rFonts w:hint="default" w:ascii="Times New Roman" w:hAnsi="Times New Roman" w:cs="Times New Roman" w:eastAsiaTheme="minorHAnsi"/>
                <w:sz w:val="20"/>
                <w:szCs w:val="20"/>
                <w:lang w:val="id-ID" w:eastAsia="en-US"/>
              </w:rPr>
            </w:pPr>
            <w:r>
              <w:rPr>
                <w:rFonts w:hint="default" w:ascii="Times New Roman" w:hAnsi="Times New Roman" w:cs="Times New Roman" w:eastAsiaTheme="minorHAnsi"/>
                <w:sz w:val="20"/>
                <w:szCs w:val="20"/>
                <w:lang w:val="id-ID" w:eastAsia="en-US"/>
              </w:rPr>
              <w:t>Std. Error</w:t>
            </w:r>
          </w:p>
        </w:tc>
        <w:tc>
          <w:tcPr>
            <w:tcW w:w="1276" w:type="dxa"/>
            <w:vAlign w:val="bottom"/>
          </w:tcPr>
          <w:p w14:paraId="2ED4210C">
            <w:pPr>
              <w:pStyle w:val="20"/>
              <w:ind w:left="0"/>
              <w:jc w:val="center"/>
              <w:rPr>
                <w:rFonts w:hint="default" w:ascii="Times New Roman" w:hAnsi="Times New Roman" w:cs="Times New Roman" w:eastAsiaTheme="minorHAnsi"/>
                <w:sz w:val="20"/>
                <w:szCs w:val="20"/>
                <w:lang w:val="id-ID" w:eastAsia="en-US"/>
              </w:rPr>
            </w:pPr>
            <w:r>
              <w:rPr>
                <w:rFonts w:hint="default" w:ascii="Times New Roman" w:hAnsi="Times New Roman" w:cs="Times New Roman" w:eastAsiaTheme="minorHAnsi"/>
                <w:sz w:val="20"/>
                <w:szCs w:val="20"/>
                <w:lang w:val="id-ID" w:eastAsia="en-US"/>
              </w:rPr>
              <w:t>Beta</w:t>
            </w:r>
          </w:p>
        </w:tc>
        <w:tc>
          <w:tcPr>
            <w:tcW w:w="992" w:type="dxa"/>
            <w:vMerge w:val="continue"/>
          </w:tcPr>
          <w:p w14:paraId="1B0488FA">
            <w:pPr>
              <w:pStyle w:val="20"/>
              <w:ind w:left="0"/>
              <w:jc w:val="both"/>
              <w:rPr>
                <w:rFonts w:hint="default" w:ascii="Times New Roman" w:hAnsi="Times New Roman" w:cs="Times New Roman" w:eastAsiaTheme="minorHAnsi"/>
                <w:sz w:val="20"/>
                <w:szCs w:val="20"/>
                <w:lang w:val="id-ID" w:eastAsia="en-US"/>
              </w:rPr>
            </w:pPr>
          </w:p>
        </w:tc>
        <w:tc>
          <w:tcPr>
            <w:tcW w:w="992" w:type="dxa"/>
            <w:vMerge w:val="continue"/>
          </w:tcPr>
          <w:p w14:paraId="18079A77">
            <w:pPr>
              <w:pStyle w:val="20"/>
              <w:ind w:left="0"/>
              <w:jc w:val="both"/>
              <w:rPr>
                <w:rFonts w:hint="default" w:ascii="Times New Roman" w:hAnsi="Times New Roman" w:cs="Times New Roman" w:eastAsiaTheme="minorHAnsi"/>
                <w:sz w:val="20"/>
                <w:szCs w:val="20"/>
                <w:lang w:val="id-ID" w:eastAsia="en-US"/>
              </w:rPr>
            </w:pPr>
          </w:p>
        </w:tc>
      </w:tr>
      <w:tr w14:paraId="6F0443FF">
        <w:tblPrEx>
          <w:tblBorders>
            <w:top w:val="single" w:color="000000" w:themeColor="text1" w:sz="4" w:space="0"/>
            <w:left w:val="none" w:color="auto" w:sz="0" w:space="0"/>
            <w:bottom w:val="single" w:color="000000" w:themeColor="text1" w:sz="4" w:space="0"/>
            <w:right w:val="none" w:color="auto" w:sz="0" w:space="0"/>
            <w:insideH w:val="single" w:color="000000" w:themeColor="text1" w:sz="4" w:space="0"/>
            <w:insideV w:val="none" w:color="auto" w:sz="0" w:space="0"/>
          </w:tblBorders>
          <w:tblCellMar>
            <w:top w:w="0" w:type="dxa"/>
            <w:left w:w="108" w:type="dxa"/>
            <w:bottom w:w="0" w:type="dxa"/>
            <w:right w:w="108" w:type="dxa"/>
          </w:tblCellMar>
        </w:tblPrEx>
        <w:tc>
          <w:tcPr>
            <w:tcW w:w="2802" w:type="dxa"/>
          </w:tcPr>
          <w:p w14:paraId="61779CA0">
            <w:pPr>
              <w:pStyle w:val="20"/>
              <w:ind w:left="0"/>
              <w:jc w:val="both"/>
              <w:rPr>
                <w:rFonts w:hint="default" w:ascii="Times New Roman" w:hAnsi="Times New Roman" w:cs="Times New Roman" w:eastAsiaTheme="minorHAnsi"/>
                <w:sz w:val="20"/>
                <w:szCs w:val="20"/>
                <w:lang w:val="id-ID" w:eastAsia="en-US"/>
              </w:rPr>
            </w:pPr>
            <w:r>
              <w:rPr>
                <w:rFonts w:hint="default" w:ascii="Times New Roman" w:hAnsi="Times New Roman" w:cs="Times New Roman" w:eastAsiaTheme="minorHAnsi"/>
                <w:sz w:val="20"/>
                <w:szCs w:val="20"/>
                <w:lang w:val="id-ID" w:eastAsia="en-US"/>
              </w:rPr>
              <w:t>1 (Constant)</w:t>
            </w:r>
          </w:p>
        </w:tc>
        <w:tc>
          <w:tcPr>
            <w:tcW w:w="850" w:type="dxa"/>
            <w:vAlign w:val="center"/>
          </w:tcPr>
          <w:p w14:paraId="44C09D56">
            <w:pPr>
              <w:pStyle w:val="20"/>
              <w:ind w:left="0"/>
              <w:jc w:val="right"/>
              <w:rPr>
                <w:rFonts w:hint="default" w:ascii="Times New Roman" w:hAnsi="Times New Roman" w:cs="Times New Roman" w:eastAsiaTheme="minorHAnsi"/>
                <w:sz w:val="20"/>
                <w:szCs w:val="20"/>
                <w:lang w:val="id-ID" w:eastAsia="en-US"/>
              </w:rPr>
            </w:pPr>
            <w:r>
              <w:rPr>
                <w:rFonts w:hint="default" w:ascii="Times New Roman" w:hAnsi="Times New Roman" w:cs="Times New Roman" w:eastAsiaTheme="minorHAnsi"/>
                <w:sz w:val="20"/>
                <w:szCs w:val="20"/>
                <w:lang w:val="id-ID" w:eastAsia="en-US"/>
              </w:rPr>
              <w:t>3.793</w:t>
            </w:r>
          </w:p>
        </w:tc>
        <w:tc>
          <w:tcPr>
            <w:tcW w:w="1134" w:type="dxa"/>
            <w:vAlign w:val="center"/>
          </w:tcPr>
          <w:p w14:paraId="2C60C5B5">
            <w:pPr>
              <w:pStyle w:val="20"/>
              <w:ind w:left="0"/>
              <w:jc w:val="right"/>
              <w:rPr>
                <w:rFonts w:hint="default" w:ascii="Times New Roman" w:hAnsi="Times New Roman" w:cs="Times New Roman" w:eastAsiaTheme="minorHAnsi"/>
                <w:sz w:val="20"/>
                <w:szCs w:val="20"/>
                <w:lang w:val="id-ID" w:eastAsia="en-US"/>
              </w:rPr>
            </w:pPr>
            <w:r>
              <w:rPr>
                <w:rFonts w:hint="default" w:ascii="Times New Roman" w:hAnsi="Times New Roman" w:cs="Times New Roman" w:eastAsiaTheme="minorHAnsi"/>
                <w:sz w:val="20"/>
                <w:szCs w:val="20"/>
                <w:lang w:val="id-ID" w:eastAsia="en-US"/>
              </w:rPr>
              <w:t>1.231</w:t>
            </w:r>
          </w:p>
        </w:tc>
        <w:tc>
          <w:tcPr>
            <w:tcW w:w="1276" w:type="dxa"/>
            <w:vAlign w:val="center"/>
          </w:tcPr>
          <w:p w14:paraId="178D85F3">
            <w:pPr>
              <w:pStyle w:val="20"/>
              <w:ind w:left="0"/>
              <w:jc w:val="right"/>
              <w:rPr>
                <w:rFonts w:hint="default" w:ascii="Times New Roman" w:hAnsi="Times New Roman" w:cs="Times New Roman" w:eastAsiaTheme="minorHAnsi"/>
                <w:sz w:val="20"/>
                <w:szCs w:val="20"/>
                <w:lang w:val="id-ID" w:eastAsia="en-US"/>
              </w:rPr>
            </w:pPr>
          </w:p>
        </w:tc>
        <w:tc>
          <w:tcPr>
            <w:tcW w:w="992" w:type="dxa"/>
            <w:vAlign w:val="center"/>
          </w:tcPr>
          <w:p w14:paraId="2B5882E9">
            <w:pPr>
              <w:pStyle w:val="20"/>
              <w:ind w:left="0"/>
              <w:jc w:val="right"/>
              <w:rPr>
                <w:rFonts w:hint="default" w:ascii="Times New Roman" w:hAnsi="Times New Roman" w:cs="Times New Roman" w:eastAsiaTheme="minorHAnsi"/>
                <w:sz w:val="20"/>
                <w:szCs w:val="20"/>
                <w:lang w:val="id-ID" w:eastAsia="en-US"/>
              </w:rPr>
            </w:pPr>
            <w:r>
              <w:rPr>
                <w:rFonts w:hint="default" w:ascii="Times New Roman" w:hAnsi="Times New Roman" w:cs="Times New Roman" w:eastAsiaTheme="minorHAnsi"/>
                <w:sz w:val="20"/>
                <w:szCs w:val="20"/>
                <w:lang w:val="id-ID" w:eastAsia="en-US"/>
              </w:rPr>
              <w:t>3.082</w:t>
            </w:r>
          </w:p>
        </w:tc>
        <w:tc>
          <w:tcPr>
            <w:tcW w:w="992" w:type="dxa"/>
            <w:vAlign w:val="center"/>
          </w:tcPr>
          <w:p w14:paraId="7DA2F0FE">
            <w:pPr>
              <w:pStyle w:val="20"/>
              <w:ind w:left="0"/>
              <w:jc w:val="right"/>
              <w:rPr>
                <w:rFonts w:hint="default" w:ascii="Times New Roman" w:hAnsi="Times New Roman" w:cs="Times New Roman" w:eastAsiaTheme="minorHAnsi"/>
                <w:sz w:val="20"/>
                <w:szCs w:val="20"/>
                <w:lang w:val="id-ID" w:eastAsia="en-US"/>
              </w:rPr>
            </w:pPr>
            <w:r>
              <w:rPr>
                <w:rFonts w:hint="default" w:ascii="Times New Roman" w:hAnsi="Times New Roman" w:cs="Times New Roman" w:eastAsiaTheme="minorHAnsi"/>
                <w:sz w:val="20"/>
                <w:szCs w:val="20"/>
                <w:lang w:val="id-ID" w:eastAsia="en-US"/>
              </w:rPr>
              <w:t>.003</w:t>
            </w:r>
          </w:p>
        </w:tc>
      </w:tr>
      <w:tr w14:paraId="129FA018">
        <w:tblPrEx>
          <w:tblBorders>
            <w:top w:val="single" w:color="000000" w:themeColor="text1" w:sz="4" w:space="0"/>
            <w:left w:val="none" w:color="auto" w:sz="0" w:space="0"/>
            <w:bottom w:val="single" w:color="000000" w:themeColor="text1" w:sz="4" w:space="0"/>
            <w:right w:val="none" w:color="auto" w:sz="0" w:space="0"/>
            <w:insideH w:val="single" w:color="000000" w:themeColor="text1" w:sz="4" w:space="0"/>
            <w:insideV w:val="none" w:color="auto" w:sz="0" w:space="0"/>
          </w:tblBorders>
          <w:tblCellMar>
            <w:top w:w="0" w:type="dxa"/>
            <w:left w:w="108" w:type="dxa"/>
            <w:bottom w:w="0" w:type="dxa"/>
            <w:right w:w="108" w:type="dxa"/>
          </w:tblCellMar>
        </w:tblPrEx>
        <w:tc>
          <w:tcPr>
            <w:tcW w:w="2802" w:type="dxa"/>
          </w:tcPr>
          <w:p w14:paraId="11B17411">
            <w:pPr>
              <w:pStyle w:val="20"/>
              <w:ind w:left="142"/>
              <w:jc w:val="both"/>
              <w:rPr>
                <w:rFonts w:hint="default" w:ascii="Times New Roman" w:hAnsi="Times New Roman" w:cs="Times New Roman" w:eastAsiaTheme="minorHAnsi"/>
                <w:i/>
                <w:sz w:val="20"/>
                <w:szCs w:val="20"/>
                <w:lang w:val="id-ID" w:eastAsia="en-US"/>
              </w:rPr>
            </w:pPr>
            <w:r>
              <w:rPr>
                <w:rFonts w:hint="default" w:ascii="Times New Roman" w:hAnsi="Times New Roman" w:cs="Times New Roman" w:eastAsiaTheme="minorHAnsi"/>
                <w:i/>
                <w:sz w:val="20"/>
                <w:szCs w:val="20"/>
                <w:lang w:val="id-ID" w:eastAsia="en-US"/>
              </w:rPr>
              <w:t xml:space="preserve">Overconfidence </w:t>
            </w:r>
          </w:p>
        </w:tc>
        <w:tc>
          <w:tcPr>
            <w:tcW w:w="850" w:type="dxa"/>
            <w:vAlign w:val="center"/>
          </w:tcPr>
          <w:p w14:paraId="5FBE6F57">
            <w:pPr>
              <w:pStyle w:val="20"/>
              <w:ind w:left="0"/>
              <w:jc w:val="right"/>
              <w:rPr>
                <w:rFonts w:hint="default" w:ascii="Times New Roman" w:hAnsi="Times New Roman" w:cs="Times New Roman" w:eastAsiaTheme="minorHAnsi"/>
                <w:sz w:val="20"/>
                <w:szCs w:val="20"/>
                <w:lang w:val="id-ID" w:eastAsia="en-US"/>
              </w:rPr>
            </w:pPr>
            <w:r>
              <w:rPr>
                <w:rFonts w:hint="default" w:ascii="Times New Roman" w:hAnsi="Times New Roman" w:cs="Times New Roman" w:eastAsiaTheme="minorHAnsi"/>
                <w:sz w:val="20"/>
                <w:szCs w:val="20"/>
                <w:lang w:val="id-ID" w:eastAsia="en-US"/>
              </w:rPr>
              <w:t>.285</w:t>
            </w:r>
          </w:p>
        </w:tc>
        <w:tc>
          <w:tcPr>
            <w:tcW w:w="1134" w:type="dxa"/>
            <w:vAlign w:val="center"/>
          </w:tcPr>
          <w:p w14:paraId="27C23B2B">
            <w:pPr>
              <w:pStyle w:val="20"/>
              <w:ind w:left="0"/>
              <w:jc w:val="right"/>
              <w:rPr>
                <w:rFonts w:hint="default" w:ascii="Times New Roman" w:hAnsi="Times New Roman" w:cs="Times New Roman" w:eastAsiaTheme="minorHAnsi"/>
                <w:sz w:val="20"/>
                <w:szCs w:val="20"/>
                <w:lang w:val="id-ID" w:eastAsia="en-US"/>
              </w:rPr>
            </w:pPr>
            <w:r>
              <w:rPr>
                <w:rFonts w:hint="default" w:ascii="Times New Roman" w:hAnsi="Times New Roman" w:cs="Times New Roman" w:eastAsiaTheme="minorHAnsi"/>
                <w:sz w:val="20"/>
                <w:szCs w:val="20"/>
                <w:lang w:val="id-ID" w:eastAsia="en-US"/>
              </w:rPr>
              <w:t>.027</w:t>
            </w:r>
          </w:p>
        </w:tc>
        <w:tc>
          <w:tcPr>
            <w:tcW w:w="1276" w:type="dxa"/>
            <w:vAlign w:val="center"/>
          </w:tcPr>
          <w:p w14:paraId="61649CF0">
            <w:pPr>
              <w:pStyle w:val="20"/>
              <w:ind w:left="0"/>
              <w:jc w:val="right"/>
              <w:rPr>
                <w:rFonts w:hint="default" w:ascii="Times New Roman" w:hAnsi="Times New Roman" w:cs="Times New Roman" w:eastAsiaTheme="minorHAnsi"/>
                <w:sz w:val="20"/>
                <w:szCs w:val="20"/>
                <w:lang w:val="id-ID" w:eastAsia="en-US"/>
              </w:rPr>
            </w:pPr>
            <w:r>
              <w:rPr>
                <w:rFonts w:hint="default" w:ascii="Times New Roman" w:hAnsi="Times New Roman" w:cs="Times New Roman" w:eastAsiaTheme="minorHAnsi"/>
                <w:sz w:val="20"/>
                <w:szCs w:val="20"/>
                <w:lang w:val="id-ID" w:eastAsia="en-US"/>
              </w:rPr>
              <w:t>.706</w:t>
            </w:r>
          </w:p>
        </w:tc>
        <w:tc>
          <w:tcPr>
            <w:tcW w:w="992" w:type="dxa"/>
            <w:vAlign w:val="center"/>
          </w:tcPr>
          <w:p w14:paraId="6BE5857E">
            <w:pPr>
              <w:pStyle w:val="20"/>
              <w:ind w:left="0"/>
              <w:jc w:val="right"/>
              <w:rPr>
                <w:rFonts w:hint="default" w:ascii="Times New Roman" w:hAnsi="Times New Roman" w:cs="Times New Roman" w:eastAsiaTheme="minorHAnsi"/>
                <w:sz w:val="20"/>
                <w:szCs w:val="20"/>
                <w:lang w:val="id-ID" w:eastAsia="en-US"/>
              </w:rPr>
            </w:pPr>
            <w:r>
              <w:rPr>
                <w:rFonts w:hint="default" w:ascii="Times New Roman" w:hAnsi="Times New Roman" w:cs="Times New Roman" w:eastAsiaTheme="minorHAnsi"/>
                <w:sz w:val="20"/>
                <w:szCs w:val="20"/>
                <w:lang w:val="id-ID" w:eastAsia="en-US"/>
              </w:rPr>
              <w:t>2.412</w:t>
            </w:r>
          </w:p>
        </w:tc>
        <w:tc>
          <w:tcPr>
            <w:tcW w:w="992" w:type="dxa"/>
            <w:vAlign w:val="center"/>
          </w:tcPr>
          <w:p w14:paraId="5F3F1899">
            <w:pPr>
              <w:pStyle w:val="20"/>
              <w:ind w:left="0"/>
              <w:jc w:val="right"/>
              <w:rPr>
                <w:rFonts w:hint="default" w:ascii="Times New Roman" w:hAnsi="Times New Roman" w:cs="Times New Roman" w:eastAsiaTheme="minorHAnsi"/>
                <w:sz w:val="20"/>
                <w:szCs w:val="20"/>
                <w:lang w:val="id-ID" w:eastAsia="en-US"/>
              </w:rPr>
            </w:pPr>
            <w:r>
              <w:rPr>
                <w:rFonts w:hint="default" w:ascii="Times New Roman" w:hAnsi="Times New Roman" w:cs="Times New Roman" w:eastAsiaTheme="minorHAnsi"/>
                <w:sz w:val="20"/>
                <w:szCs w:val="20"/>
                <w:lang w:val="id-ID" w:eastAsia="en-US"/>
              </w:rPr>
              <w:t>.022</w:t>
            </w:r>
          </w:p>
        </w:tc>
      </w:tr>
      <w:tr w14:paraId="757CF008">
        <w:tblPrEx>
          <w:tblBorders>
            <w:top w:val="single" w:color="000000" w:themeColor="text1" w:sz="4" w:space="0"/>
            <w:left w:val="none" w:color="auto" w:sz="0" w:space="0"/>
            <w:bottom w:val="single" w:color="000000" w:themeColor="text1" w:sz="4" w:space="0"/>
            <w:right w:val="none" w:color="auto" w:sz="0" w:space="0"/>
            <w:insideH w:val="single" w:color="000000" w:themeColor="text1" w:sz="4" w:space="0"/>
            <w:insideV w:val="none" w:color="auto" w:sz="0" w:space="0"/>
          </w:tblBorders>
          <w:tblCellMar>
            <w:top w:w="0" w:type="dxa"/>
            <w:left w:w="108" w:type="dxa"/>
            <w:bottom w:w="0" w:type="dxa"/>
            <w:right w:w="108" w:type="dxa"/>
          </w:tblCellMar>
        </w:tblPrEx>
        <w:tc>
          <w:tcPr>
            <w:tcW w:w="2802" w:type="dxa"/>
          </w:tcPr>
          <w:p w14:paraId="10CD6B86">
            <w:pPr>
              <w:pStyle w:val="20"/>
              <w:ind w:left="142"/>
              <w:jc w:val="both"/>
              <w:rPr>
                <w:rFonts w:hint="default" w:ascii="Times New Roman" w:hAnsi="Times New Roman" w:cs="Times New Roman" w:eastAsiaTheme="minorHAnsi"/>
                <w:i/>
                <w:sz w:val="20"/>
                <w:szCs w:val="20"/>
                <w:lang w:val="id-ID" w:eastAsia="en-US"/>
              </w:rPr>
            </w:pPr>
            <w:r>
              <w:rPr>
                <w:rFonts w:hint="default" w:ascii="Times New Roman" w:hAnsi="Times New Roman" w:cs="Times New Roman" w:eastAsiaTheme="minorHAnsi"/>
                <w:i/>
                <w:sz w:val="20"/>
                <w:szCs w:val="20"/>
                <w:lang w:val="id-ID" w:eastAsia="en-US"/>
              </w:rPr>
              <w:t>Confirmation Bias</w:t>
            </w:r>
          </w:p>
        </w:tc>
        <w:tc>
          <w:tcPr>
            <w:tcW w:w="850" w:type="dxa"/>
            <w:vAlign w:val="center"/>
          </w:tcPr>
          <w:p w14:paraId="33A2AD00">
            <w:pPr>
              <w:pStyle w:val="20"/>
              <w:ind w:left="0"/>
              <w:jc w:val="right"/>
              <w:rPr>
                <w:rFonts w:hint="default" w:ascii="Times New Roman" w:hAnsi="Times New Roman" w:cs="Times New Roman" w:eastAsiaTheme="minorHAnsi"/>
                <w:sz w:val="20"/>
                <w:szCs w:val="20"/>
                <w:lang w:val="id-ID" w:eastAsia="en-US"/>
              </w:rPr>
            </w:pPr>
            <w:r>
              <w:rPr>
                <w:rFonts w:hint="default" w:ascii="Times New Roman" w:hAnsi="Times New Roman" w:cs="Times New Roman" w:eastAsiaTheme="minorHAnsi"/>
                <w:sz w:val="20"/>
                <w:szCs w:val="20"/>
                <w:lang w:val="id-ID" w:eastAsia="en-US"/>
              </w:rPr>
              <w:t>.194</w:t>
            </w:r>
          </w:p>
        </w:tc>
        <w:tc>
          <w:tcPr>
            <w:tcW w:w="1134" w:type="dxa"/>
            <w:vAlign w:val="center"/>
          </w:tcPr>
          <w:p w14:paraId="02D3B11F">
            <w:pPr>
              <w:pStyle w:val="20"/>
              <w:ind w:left="0"/>
              <w:jc w:val="right"/>
              <w:rPr>
                <w:rFonts w:hint="default" w:ascii="Times New Roman" w:hAnsi="Times New Roman" w:cs="Times New Roman" w:eastAsiaTheme="minorHAnsi"/>
                <w:sz w:val="20"/>
                <w:szCs w:val="20"/>
                <w:lang w:val="id-ID" w:eastAsia="en-US"/>
              </w:rPr>
            </w:pPr>
            <w:r>
              <w:rPr>
                <w:rFonts w:hint="default" w:ascii="Times New Roman" w:hAnsi="Times New Roman" w:cs="Times New Roman" w:eastAsiaTheme="minorHAnsi"/>
                <w:sz w:val="20"/>
                <w:szCs w:val="20"/>
                <w:lang w:val="id-ID" w:eastAsia="en-US"/>
              </w:rPr>
              <w:t>.023</w:t>
            </w:r>
          </w:p>
        </w:tc>
        <w:tc>
          <w:tcPr>
            <w:tcW w:w="1276" w:type="dxa"/>
            <w:vAlign w:val="center"/>
          </w:tcPr>
          <w:p w14:paraId="0E3E96C1">
            <w:pPr>
              <w:pStyle w:val="20"/>
              <w:ind w:left="0"/>
              <w:jc w:val="right"/>
              <w:rPr>
                <w:rFonts w:hint="default" w:ascii="Times New Roman" w:hAnsi="Times New Roman" w:cs="Times New Roman" w:eastAsiaTheme="minorHAnsi"/>
                <w:sz w:val="20"/>
                <w:szCs w:val="20"/>
                <w:lang w:val="id-ID" w:eastAsia="en-US"/>
              </w:rPr>
            </w:pPr>
            <w:r>
              <w:rPr>
                <w:rFonts w:hint="default" w:ascii="Times New Roman" w:hAnsi="Times New Roman" w:cs="Times New Roman" w:eastAsiaTheme="minorHAnsi"/>
                <w:sz w:val="20"/>
                <w:szCs w:val="20"/>
                <w:lang w:val="id-ID" w:eastAsia="en-US"/>
              </w:rPr>
              <w:t>.360</w:t>
            </w:r>
          </w:p>
        </w:tc>
        <w:tc>
          <w:tcPr>
            <w:tcW w:w="992" w:type="dxa"/>
            <w:vAlign w:val="center"/>
          </w:tcPr>
          <w:p w14:paraId="122A2F34">
            <w:pPr>
              <w:pStyle w:val="20"/>
              <w:ind w:left="0"/>
              <w:jc w:val="right"/>
              <w:rPr>
                <w:rFonts w:hint="default" w:ascii="Times New Roman" w:hAnsi="Times New Roman" w:cs="Times New Roman" w:eastAsiaTheme="minorHAnsi"/>
                <w:sz w:val="20"/>
                <w:szCs w:val="20"/>
                <w:lang w:val="id-ID" w:eastAsia="en-US"/>
              </w:rPr>
            </w:pPr>
            <w:r>
              <w:rPr>
                <w:rFonts w:hint="default" w:ascii="Times New Roman" w:hAnsi="Times New Roman" w:cs="Times New Roman" w:eastAsiaTheme="minorHAnsi"/>
                <w:sz w:val="20"/>
                <w:szCs w:val="20"/>
                <w:lang w:val="id-ID" w:eastAsia="en-US"/>
              </w:rPr>
              <w:t>2.105</w:t>
            </w:r>
          </w:p>
        </w:tc>
        <w:tc>
          <w:tcPr>
            <w:tcW w:w="992" w:type="dxa"/>
            <w:vAlign w:val="center"/>
          </w:tcPr>
          <w:p w14:paraId="77619423">
            <w:pPr>
              <w:pStyle w:val="20"/>
              <w:ind w:left="0"/>
              <w:jc w:val="right"/>
              <w:rPr>
                <w:rFonts w:hint="default" w:ascii="Times New Roman" w:hAnsi="Times New Roman" w:cs="Times New Roman" w:eastAsiaTheme="minorHAnsi"/>
                <w:sz w:val="20"/>
                <w:szCs w:val="20"/>
                <w:lang w:val="id-ID" w:eastAsia="en-US"/>
              </w:rPr>
            </w:pPr>
            <w:r>
              <w:rPr>
                <w:rFonts w:hint="default" w:ascii="Times New Roman" w:hAnsi="Times New Roman" w:cs="Times New Roman" w:eastAsiaTheme="minorHAnsi"/>
                <w:sz w:val="20"/>
                <w:szCs w:val="20"/>
                <w:lang w:val="id-ID" w:eastAsia="en-US"/>
              </w:rPr>
              <w:t>.044</w:t>
            </w:r>
          </w:p>
        </w:tc>
      </w:tr>
      <w:tr w14:paraId="09A4BA20">
        <w:tblPrEx>
          <w:tblBorders>
            <w:top w:val="single" w:color="000000" w:themeColor="text1" w:sz="4" w:space="0"/>
            <w:left w:val="none" w:color="auto" w:sz="0" w:space="0"/>
            <w:bottom w:val="single" w:color="000000" w:themeColor="text1" w:sz="4" w:space="0"/>
            <w:right w:val="none" w:color="auto" w:sz="0" w:space="0"/>
            <w:insideH w:val="single" w:color="000000" w:themeColor="text1" w:sz="4" w:space="0"/>
            <w:insideV w:val="none" w:color="auto" w:sz="0" w:space="0"/>
          </w:tblBorders>
          <w:tblCellMar>
            <w:top w:w="0" w:type="dxa"/>
            <w:left w:w="108" w:type="dxa"/>
            <w:bottom w:w="0" w:type="dxa"/>
            <w:right w:w="108" w:type="dxa"/>
          </w:tblCellMar>
        </w:tblPrEx>
        <w:tc>
          <w:tcPr>
            <w:tcW w:w="2802" w:type="dxa"/>
          </w:tcPr>
          <w:p w14:paraId="551163B5">
            <w:pPr>
              <w:pStyle w:val="20"/>
              <w:ind w:left="142"/>
              <w:jc w:val="both"/>
              <w:rPr>
                <w:rFonts w:hint="default" w:ascii="Times New Roman" w:hAnsi="Times New Roman" w:cs="Times New Roman" w:eastAsiaTheme="minorHAnsi"/>
                <w:i/>
                <w:sz w:val="20"/>
                <w:szCs w:val="20"/>
                <w:lang w:val="id-ID" w:eastAsia="en-US"/>
              </w:rPr>
            </w:pPr>
            <w:r>
              <w:rPr>
                <w:rFonts w:hint="default" w:ascii="Times New Roman" w:hAnsi="Times New Roman" w:cs="Times New Roman" w:eastAsiaTheme="minorHAnsi"/>
                <w:i/>
                <w:sz w:val="20"/>
                <w:szCs w:val="20"/>
                <w:lang w:val="id-ID" w:eastAsia="en-US"/>
              </w:rPr>
              <w:t>Herd Behavior</w:t>
            </w:r>
          </w:p>
        </w:tc>
        <w:tc>
          <w:tcPr>
            <w:tcW w:w="850" w:type="dxa"/>
            <w:vAlign w:val="center"/>
          </w:tcPr>
          <w:p w14:paraId="172AF9E3">
            <w:pPr>
              <w:pStyle w:val="20"/>
              <w:ind w:left="0"/>
              <w:jc w:val="right"/>
              <w:rPr>
                <w:rFonts w:hint="default" w:ascii="Times New Roman" w:hAnsi="Times New Roman" w:cs="Times New Roman" w:eastAsiaTheme="minorHAnsi"/>
                <w:sz w:val="20"/>
                <w:szCs w:val="20"/>
                <w:lang w:val="id-ID" w:eastAsia="en-US"/>
              </w:rPr>
            </w:pPr>
            <w:r>
              <w:rPr>
                <w:rFonts w:hint="default" w:ascii="Times New Roman" w:hAnsi="Times New Roman" w:cs="Times New Roman" w:eastAsiaTheme="minorHAnsi"/>
                <w:sz w:val="20"/>
                <w:szCs w:val="20"/>
                <w:lang w:val="id-ID" w:eastAsia="en-US"/>
              </w:rPr>
              <w:t>.472</w:t>
            </w:r>
          </w:p>
        </w:tc>
        <w:tc>
          <w:tcPr>
            <w:tcW w:w="1134" w:type="dxa"/>
            <w:vAlign w:val="center"/>
          </w:tcPr>
          <w:p w14:paraId="66C138DA">
            <w:pPr>
              <w:pStyle w:val="20"/>
              <w:ind w:left="0"/>
              <w:jc w:val="right"/>
              <w:rPr>
                <w:rFonts w:hint="default" w:ascii="Times New Roman" w:hAnsi="Times New Roman" w:cs="Times New Roman" w:eastAsiaTheme="minorHAnsi"/>
                <w:sz w:val="20"/>
                <w:szCs w:val="20"/>
                <w:lang w:val="id-ID" w:eastAsia="en-US"/>
              </w:rPr>
            </w:pPr>
            <w:r>
              <w:rPr>
                <w:rFonts w:hint="default" w:ascii="Times New Roman" w:hAnsi="Times New Roman" w:cs="Times New Roman" w:eastAsiaTheme="minorHAnsi"/>
                <w:sz w:val="20"/>
                <w:szCs w:val="20"/>
                <w:lang w:val="id-ID" w:eastAsia="en-US"/>
              </w:rPr>
              <w:t>.032</w:t>
            </w:r>
          </w:p>
        </w:tc>
        <w:tc>
          <w:tcPr>
            <w:tcW w:w="1276" w:type="dxa"/>
            <w:vAlign w:val="center"/>
          </w:tcPr>
          <w:p w14:paraId="1DAEF6AA">
            <w:pPr>
              <w:pStyle w:val="20"/>
              <w:ind w:left="0"/>
              <w:jc w:val="right"/>
              <w:rPr>
                <w:rFonts w:hint="default" w:ascii="Times New Roman" w:hAnsi="Times New Roman" w:cs="Times New Roman" w:eastAsiaTheme="minorHAnsi"/>
                <w:sz w:val="20"/>
                <w:szCs w:val="20"/>
                <w:lang w:val="id-ID" w:eastAsia="en-US"/>
              </w:rPr>
            </w:pPr>
            <w:r>
              <w:rPr>
                <w:rFonts w:hint="default" w:ascii="Times New Roman" w:hAnsi="Times New Roman" w:cs="Times New Roman" w:eastAsiaTheme="minorHAnsi"/>
                <w:sz w:val="20"/>
                <w:szCs w:val="20"/>
                <w:lang w:val="id-ID" w:eastAsia="en-US"/>
              </w:rPr>
              <w:t>.082</w:t>
            </w:r>
          </w:p>
        </w:tc>
        <w:tc>
          <w:tcPr>
            <w:tcW w:w="992" w:type="dxa"/>
            <w:vAlign w:val="center"/>
          </w:tcPr>
          <w:p w14:paraId="5C3987B6">
            <w:pPr>
              <w:pStyle w:val="20"/>
              <w:ind w:left="0"/>
              <w:jc w:val="right"/>
              <w:rPr>
                <w:rFonts w:hint="default" w:ascii="Times New Roman" w:hAnsi="Times New Roman" w:cs="Times New Roman" w:eastAsiaTheme="minorHAnsi"/>
                <w:sz w:val="20"/>
                <w:szCs w:val="20"/>
                <w:lang w:val="id-ID" w:eastAsia="en-US"/>
              </w:rPr>
            </w:pPr>
            <w:r>
              <w:rPr>
                <w:rFonts w:hint="default" w:ascii="Times New Roman" w:hAnsi="Times New Roman" w:cs="Times New Roman" w:eastAsiaTheme="minorHAnsi"/>
                <w:sz w:val="20"/>
                <w:szCs w:val="20"/>
                <w:lang w:val="id-ID" w:eastAsia="en-US"/>
              </w:rPr>
              <w:t>4.891</w:t>
            </w:r>
          </w:p>
        </w:tc>
        <w:tc>
          <w:tcPr>
            <w:tcW w:w="992" w:type="dxa"/>
            <w:vAlign w:val="center"/>
          </w:tcPr>
          <w:p w14:paraId="2618348D">
            <w:pPr>
              <w:pStyle w:val="20"/>
              <w:ind w:left="0"/>
              <w:jc w:val="right"/>
              <w:rPr>
                <w:rFonts w:hint="default" w:ascii="Times New Roman" w:hAnsi="Times New Roman" w:cs="Times New Roman" w:eastAsiaTheme="minorHAnsi"/>
                <w:sz w:val="20"/>
                <w:szCs w:val="20"/>
                <w:lang w:val="id-ID" w:eastAsia="en-US"/>
              </w:rPr>
            </w:pPr>
            <w:r>
              <w:rPr>
                <w:rFonts w:hint="default" w:ascii="Times New Roman" w:hAnsi="Times New Roman" w:cs="Times New Roman" w:eastAsiaTheme="minorHAnsi"/>
                <w:sz w:val="20"/>
                <w:szCs w:val="20"/>
                <w:lang w:val="id-ID" w:eastAsia="en-US"/>
              </w:rPr>
              <w:t>.000</w:t>
            </w:r>
          </w:p>
        </w:tc>
      </w:tr>
    </w:tbl>
    <w:p w14:paraId="14C707BC">
      <w:pPr>
        <w:pBdr>
          <w:top w:val="none" w:color="auto" w:sz="0" w:space="0"/>
          <w:left w:val="none" w:color="auto" w:sz="0" w:space="0"/>
          <w:bottom w:val="none" w:color="auto" w:sz="0" w:space="0"/>
          <w:right w:val="none" w:color="auto" w:sz="0" w:space="0"/>
          <w:between w:val="none" w:color="auto" w:sz="0" w:space="0"/>
        </w:pBdr>
        <w:spacing w:before="240"/>
        <w:jc w:val="both"/>
        <w:rPr>
          <w:rFonts w:hint="default" w:ascii="Times New Roman" w:hAnsi="Times New Roman" w:eastAsia="Times New Roman" w:cs="Times New Roman"/>
          <w:color w:val="000000"/>
          <w:lang w:val="zh-CN"/>
        </w:rPr>
      </w:pPr>
      <w:r>
        <w:rPr>
          <w:rFonts w:hint="default" w:ascii="Times New Roman" w:hAnsi="Times New Roman" w:eastAsia="Times New Roman" w:cs="Times New Roman"/>
          <w:color w:val="000000"/>
          <w:lang w:val="zh-CN"/>
        </w:rPr>
        <w:t xml:space="preserve">Uji regresi linear berganda digunkanan untuk menentukan variabel independen yang berjumlah lebih dari satu dalam mempengaruhi satu variabel dependen. Alat pengujan yang diterapkan dalam analisis penelitian ini ialah analisis regresi linear berganda atau </w:t>
      </w:r>
      <w:r>
        <w:rPr>
          <w:rFonts w:hint="default" w:ascii="Times New Roman" w:hAnsi="Times New Roman" w:eastAsia="Times New Roman" w:cs="Times New Roman"/>
          <w:i/>
          <w:iCs/>
          <w:color w:val="000000"/>
          <w:lang w:val="zh-CN"/>
        </w:rPr>
        <w:t>multiple regression analysis</w:t>
      </w:r>
      <w:r>
        <w:rPr>
          <w:rFonts w:hint="default" w:ascii="Times New Roman" w:hAnsi="Times New Roman" w:eastAsia="Times New Roman" w:cs="Times New Roman"/>
          <w:color w:val="000000"/>
          <w:lang w:val="zh-CN"/>
        </w:rPr>
        <w:t xml:space="preserve">. Adapun tujuannya guna mengamati pengaruh </w:t>
      </w:r>
      <w:r>
        <w:rPr>
          <w:rFonts w:hint="default" w:ascii="Times New Roman" w:hAnsi="Times New Roman" w:eastAsia="Times New Roman" w:cs="Times New Roman"/>
          <w:i/>
          <w:iCs/>
          <w:color w:val="000000"/>
          <w:lang w:val="zh-CN"/>
        </w:rPr>
        <w:t>Overconfidence</w:t>
      </w:r>
      <w:r>
        <w:rPr>
          <w:rFonts w:hint="default" w:ascii="Times New Roman" w:hAnsi="Times New Roman" w:eastAsia="Times New Roman" w:cs="Times New Roman"/>
          <w:color w:val="000000"/>
          <w:lang w:val="zh-CN"/>
        </w:rPr>
        <w:t xml:space="preserve"> (X</w:t>
      </w:r>
      <w:r>
        <w:rPr>
          <w:rFonts w:hint="default" w:ascii="Times New Roman" w:hAnsi="Times New Roman" w:eastAsia="Times New Roman" w:cs="Times New Roman"/>
          <w:color w:val="000000"/>
          <w:vertAlign w:val="subscript"/>
          <w:lang w:val="zh-CN"/>
        </w:rPr>
        <w:t>1</w:t>
      </w:r>
      <w:r>
        <w:rPr>
          <w:rFonts w:hint="default" w:ascii="Times New Roman" w:hAnsi="Times New Roman" w:eastAsia="Times New Roman" w:cs="Times New Roman"/>
          <w:color w:val="000000"/>
          <w:lang w:val="zh-CN"/>
        </w:rPr>
        <w:t xml:space="preserve">), </w:t>
      </w:r>
      <w:r>
        <w:rPr>
          <w:rFonts w:hint="default" w:ascii="Times New Roman" w:hAnsi="Times New Roman" w:eastAsia="Times New Roman" w:cs="Times New Roman"/>
          <w:i/>
          <w:iCs/>
          <w:color w:val="000000"/>
          <w:lang w:val="zh-CN"/>
        </w:rPr>
        <w:t>Confirmation Bias</w:t>
      </w:r>
      <w:r>
        <w:rPr>
          <w:rFonts w:hint="default" w:ascii="Times New Roman" w:hAnsi="Times New Roman" w:eastAsia="Times New Roman" w:cs="Times New Roman"/>
          <w:color w:val="000000"/>
          <w:lang w:val="zh-CN"/>
        </w:rPr>
        <w:t xml:space="preserve"> (X</w:t>
      </w:r>
      <w:r>
        <w:rPr>
          <w:rFonts w:hint="default" w:ascii="Times New Roman" w:hAnsi="Times New Roman" w:eastAsia="Times New Roman" w:cs="Times New Roman"/>
          <w:color w:val="000000"/>
          <w:vertAlign w:val="subscript"/>
          <w:lang w:val="zh-CN"/>
        </w:rPr>
        <w:t>2</w:t>
      </w:r>
      <w:r>
        <w:rPr>
          <w:rFonts w:hint="default" w:ascii="Times New Roman" w:hAnsi="Times New Roman" w:eastAsia="Times New Roman" w:cs="Times New Roman"/>
          <w:color w:val="000000"/>
          <w:lang w:val="zh-CN"/>
        </w:rPr>
        <w:t xml:space="preserve">), dan </w:t>
      </w:r>
      <w:r>
        <w:rPr>
          <w:rFonts w:hint="default" w:ascii="Times New Roman" w:hAnsi="Times New Roman" w:eastAsia="Times New Roman" w:cs="Times New Roman"/>
          <w:i/>
          <w:iCs/>
          <w:color w:val="000000"/>
          <w:lang w:val="zh-CN"/>
        </w:rPr>
        <w:t>Herd Behavior</w:t>
      </w:r>
      <w:r>
        <w:rPr>
          <w:rFonts w:hint="default" w:ascii="Times New Roman" w:hAnsi="Times New Roman" w:eastAsia="Times New Roman" w:cs="Times New Roman"/>
          <w:color w:val="000000"/>
          <w:lang w:val="zh-CN"/>
        </w:rPr>
        <w:t xml:space="preserve"> (X</w:t>
      </w:r>
      <w:r>
        <w:rPr>
          <w:rFonts w:hint="default" w:ascii="Times New Roman" w:hAnsi="Times New Roman" w:eastAsia="Times New Roman" w:cs="Times New Roman"/>
          <w:color w:val="000000"/>
          <w:vertAlign w:val="subscript"/>
          <w:lang w:val="zh-CN"/>
        </w:rPr>
        <w:t>3</w:t>
      </w:r>
      <w:r>
        <w:rPr>
          <w:rFonts w:hint="default" w:ascii="Times New Roman" w:hAnsi="Times New Roman" w:eastAsia="Times New Roman" w:cs="Times New Roman"/>
          <w:color w:val="000000"/>
          <w:lang w:val="zh-CN"/>
        </w:rPr>
        <w:t>) terhadap keputusan investasi (Y). Persamaan linear dalam hasil penelitian ini sebagai berikut.</w:t>
      </w:r>
    </w:p>
    <w:p w14:paraId="7D86A3E3">
      <w:pPr>
        <w:pBdr>
          <w:top w:val="none" w:color="auto" w:sz="0" w:space="0"/>
          <w:left w:val="none" w:color="auto" w:sz="0" w:space="0"/>
          <w:bottom w:val="none" w:color="auto" w:sz="0" w:space="0"/>
          <w:right w:val="none" w:color="auto" w:sz="0" w:space="0"/>
          <w:between w:val="none" w:color="auto" w:sz="0" w:space="0"/>
        </w:pBdr>
        <w:spacing w:before="240"/>
        <w:jc w:val="both"/>
        <w:rPr>
          <w:rFonts w:hint="default" w:ascii="Times New Roman" w:hAnsi="Times New Roman" w:eastAsia="Times New Roman" w:cs="Times New Roman"/>
          <w:color w:val="000000"/>
          <w:lang w:val="zh-CN"/>
        </w:rPr>
      </w:pPr>
      <m:oMathPara>
        <m:oMath>
          <m:r>
            <m:rPr>
              <m:nor/>
            </m:rPr>
            <w:rPr>
              <w:rFonts w:hint="default" w:ascii="Times New Roman" w:hAnsi="Times New Roman" w:eastAsia="Times New Roman" w:cs="Times New Roman"/>
              <w:i/>
              <w:color w:val="000000"/>
              <w:lang w:val="zh-CN"/>
            </w:rPr>
            <m:t>Y</m:t>
          </m:r>
          <m:r>
            <m:rPr>
              <m:nor/>
              <m:sty m:val="p"/>
            </m:rPr>
            <w:rPr>
              <w:rFonts w:hint="default" w:ascii="Times New Roman" w:hAnsi="Times New Roman" w:eastAsia="Times New Roman" w:cs="Times New Roman"/>
              <w:b w:val="0"/>
              <w:i w:val="0"/>
              <w:color w:val="000000"/>
              <w:lang w:val="zh-CN"/>
            </w:rPr>
            <m:t>=3,793+0,</m:t>
          </m:r>
          <m:sSub>
            <m:sSubPr>
              <m:ctrlPr>
                <w:rPr>
                  <w:rFonts w:hint="default" w:ascii="Cambria Math" w:hAnsi="Cambria Math" w:eastAsia="Times New Roman" w:cs="Times New Roman"/>
                  <w:i/>
                  <w:color w:val="000000"/>
                  <w:lang w:val="zh-CN"/>
                </w:rPr>
              </m:ctrlPr>
            </m:sSubPr>
            <m:e>
              <m:r>
                <m:rPr>
                  <m:nor/>
                  <m:sty m:val="p"/>
                </m:rPr>
                <w:rPr>
                  <w:rFonts w:hint="default" w:ascii="Times New Roman" w:hAnsi="Times New Roman" w:eastAsia="Times New Roman" w:cs="Times New Roman"/>
                  <w:b w:val="0"/>
                  <w:i w:val="0"/>
                  <w:color w:val="000000"/>
                  <w:lang w:val="zh-CN"/>
                </w:rPr>
                <m:t>285</m:t>
              </m:r>
              <m:r>
                <m:rPr>
                  <m:nor/>
                </m:rPr>
                <w:rPr>
                  <w:rFonts w:hint="default" w:ascii="Times New Roman" w:hAnsi="Times New Roman" w:eastAsia="Times New Roman" w:cs="Times New Roman"/>
                  <w:i/>
                  <w:color w:val="000000"/>
                  <w:lang w:val="zh-CN"/>
                </w:rPr>
                <m:t>X</m:t>
              </m:r>
              <m:ctrlPr>
                <w:rPr>
                  <w:rFonts w:hint="default" w:ascii="Cambria Math" w:hAnsi="Cambria Math" w:eastAsia="Times New Roman" w:cs="Times New Roman"/>
                  <w:i/>
                  <w:color w:val="000000"/>
                  <w:lang w:val="zh-CN"/>
                </w:rPr>
              </m:ctrlPr>
            </m:e>
            <m:sub>
              <m:r>
                <m:rPr>
                  <m:nor/>
                  <m:sty m:val="p"/>
                </m:rPr>
                <w:rPr>
                  <w:rFonts w:hint="default" w:ascii="Times New Roman" w:hAnsi="Times New Roman" w:eastAsia="Times New Roman" w:cs="Times New Roman"/>
                  <w:b w:val="0"/>
                  <w:i w:val="0"/>
                  <w:color w:val="000000"/>
                  <w:lang w:val="zh-CN"/>
                </w:rPr>
                <m:t>1</m:t>
              </m:r>
              <m:ctrlPr>
                <w:rPr>
                  <w:rFonts w:hint="default" w:ascii="Cambria Math" w:hAnsi="Cambria Math" w:eastAsia="Times New Roman" w:cs="Times New Roman"/>
                  <w:i/>
                  <w:color w:val="000000"/>
                  <w:lang w:val="zh-CN"/>
                </w:rPr>
              </m:ctrlPr>
            </m:sub>
          </m:sSub>
          <m:r>
            <m:rPr>
              <m:nor/>
              <m:sty m:val="p"/>
            </m:rPr>
            <w:rPr>
              <w:rFonts w:hint="default" w:ascii="Times New Roman" w:hAnsi="Times New Roman" w:eastAsia="Times New Roman" w:cs="Times New Roman"/>
              <w:b w:val="0"/>
              <w:i w:val="0"/>
              <w:color w:val="000000"/>
              <w:lang w:val="zh-CN"/>
            </w:rPr>
            <m:t>+</m:t>
          </m:r>
          <m:sSub>
            <m:sSubPr>
              <m:ctrlPr>
                <w:rPr>
                  <w:rFonts w:hint="default" w:ascii="Cambria Math" w:hAnsi="Cambria Math" w:eastAsia="Times New Roman" w:cs="Times New Roman"/>
                  <w:i/>
                  <w:color w:val="000000"/>
                  <w:lang w:val="zh-CN"/>
                </w:rPr>
              </m:ctrlPr>
            </m:sSubPr>
            <m:e>
              <m:r>
                <m:rPr>
                  <m:nor/>
                  <m:sty m:val="p"/>
                </m:rPr>
                <w:rPr>
                  <w:rFonts w:hint="default" w:ascii="Times New Roman" w:hAnsi="Times New Roman" w:eastAsia="Times New Roman" w:cs="Times New Roman"/>
                  <w:b w:val="0"/>
                  <w:i w:val="0"/>
                  <w:color w:val="000000"/>
                  <w:lang w:val="zh-CN"/>
                </w:rPr>
                <m:t>0,194</m:t>
              </m:r>
              <m:r>
                <m:rPr>
                  <m:nor/>
                </m:rPr>
                <w:rPr>
                  <w:rFonts w:hint="default" w:ascii="Times New Roman" w:hAnsi="Times New Roman" w:eastAsia="Times New Roman" w:cs="Times New Roman"/>
                  <w:i/>
                  <w:color w:val="000000"/>
                  <w:lang w:val="zh-CN"/>
                </w:rPr>
                <m:t>X</m:t>
              </m:r>
              <m:ctrlPr>
                <w:rPr>
                  <w:rFonts w:hint="default" w:ascii="Cambria Math" w:hAnsi="Cambria Math" w:eastAsia="Times New Roman" w:cs="Times New Roman"/>
                  <w:i/>
                  <w:color w:val="000000"/>
                  <w:lang w:val="zh-CN"/>
                </w:rPr>
              </m:ctrlPr>
            </m:e>
            <m:sub>
              <m:r>
                <m:rPr>
                  <m:nor/>
                  <m:sty m:val="p"/>
                </m:rPr>
                <w:rPr>
                  <w:rFonts w:hint="default" w:ascii="Times New Roman" w:hAnsi="Times New Roman" w:eastAsia="Times New Roman" w:cs="Times New Roman"/>
                  <w:b w:val="0"/>
                  <w:i w:val="0"/>
                  <w:color w:val="000000"/>
                  <w:lang w:val="zh-CN"/>
                </w:rPr>
                <m:t>2</m:t>
              </m:r>
              <m:ctrlPr>
                <w:rPr>
                  <w:rFonts w:hint="default" w:ascii="Cambria Math" w:hAnsi="Cambria Math" w:eastAsia="Times New Roman" w:cs="Times New Roman"/>
                  <w:i/>
                  <w:color w:val="000000"/>
                  <w:lang w:val="zh-CN"/>
                </w:rPr>
              </m:ctrlPr>
            </m:sub>
          </m:sSub>
          <m:r>
            <m:rPr>
              <m:nor/>
              <m:sty m:val="p"/>
            </m:rPr>
            <w:rPr>
              <w:rFonts w:hint="default" w:ascii="Times New Roman" w:hAnsi="Times New Roman" w:eastAsia="Times New Roman" w:cs="Times New Roman"/>
              <w:b w:val="0"/>
              <w:i w:val="0"/>
              <w:color w:val="000000"/>
              <w:lang w:val="zh-CN"/>
            </w:rPr>
            <m:t>+</m:t>
          </m:r>
          <m:sSub>
            <m:sSubPr>
              <m:ctrlPr>
                <w:rPr>
                  <w:rFonts w:hint="default" w:ascii="Cambria Math" w:hAnsi="Cambria Math" w:eastAsia="Times New Roman" w:cs="Times New Roman"/>
                  <w:i/>
                  <w:color w:val="000000"/>
                  <w:lang w:val="zh-CN"/>
                </w:rPr>
              </m:ctrlPr>
            </m:sSubPr>
            <m:e>
              <m:r>
                <m:rPr>
                  <m:nor/>
                  <m:sty m:val="p"/>
                </m:rPr>
                <w:rPr>
                  <w:rFonts w:hint="default" w:ascii="Times New Roman" w:hAnsi="Times New Roman" w:eastAsia="Times New Roman" w:cs="Times New Roman"/>
                  <w:b w:val="0"/>
                  <w:i w:val="0"/>
                  <w:color w:val="000000"/>
                  <w:lang w:val="zh-CN"/>
                </w:rPr>
                <m:t>0,472</m:t>
              </m:r>
              <m:r>
                <m:rPr>
                  <m:nor/>
                </m:rPr>
                <w:rPr>
                  <w:rFonts w:hint="default" w:ascii="Times New Roman" w:hAnsi="Times New Roman" w:eastAsia="Times New Roman" w:cs="Times New Roman"/>
                  <w:i/>
                  <w:color w:val="000000"/>
                  <w:lang w:val="zh-CN"/>
                </w:rPr>
                <m:t>X</m:t>
              </m:r>
              <m:ctrlPr>
                <w:rPr>
                  <w:rFonts w:hint="default" w:ascii="Cambria Math" w:hAnsi="Cambria Math" w:eastAsia="Times New Roman" w:cs="Times New Roman"/>
                  <w:i/>
                  <w:color w:val="000000"/>
                  <w:lang w:val="zh-CN"/>
                </w:rPr>
              </m:ctrlPr>
            </m:e>
            <m:sub>
              <m:r>
                <m:rPr>
                  <m:nor/>
                  <m:sty m:val="p"/>
                </m:rPr>
                <w:rPr>
                  <w:rFonts w:hint="default" w:ascii="Times New Roman" w:hAnsi="Times New Roman" w:eastAsia="Times New Roman" w:cs="Times New Roman"/>
                  <w:b w:val="0"/>
                  <w:i w:val="0"/>
                  <w:color w:val="000000"/>
                  <w:lang w:val="zh-CN"/>
                </w:rPr>
                <m:t>3</m:t>
              </m:r>
              <m:ctrlPr>
                <w:rPr>
                  <w:rFonts w:hint="default" w:ascii="Cambria Math" w:hAnsi="Cambria Math" w:eastAsia="Times New Roman" w:cs="Times New Roman"/>
                  <w:i/>
                  <w:color w:val="000000"/>
                  <w:lang w:val="zh-CN"/>
                </w:rPr>
              </m:ctrlPr>
            </m:sub>
          </m:sSub>
          <m:r>
            <m:rPr>
              <m:nor/>
              <m:sty m:val="p"/>
            </m:rPr>
            <w:rPr>
              <w:rFonts w:hint="default" w:ascii="Times New Roman" w:hAnsi="Times New Roman" w:eastAsia="Times New Roman" w:cs="Times New Roman"/>
              <w:b w:val="0"/>
              <w:i w:val="0"/>
              <w:color w:val="000000"/>
              <w:lang w:val="zh-CN"/>
            </w:rPr>
            <m:t>+</m:t>
          </m:r>
          <m:r>
            <m:rPr>
              <m:nor/>
            </m:rPr>
            <w:rPr>
              <w:rFonts w:hint="default" w:ascii="Times New Roman" w:hAnsi="Times New Roman" w:eastAsia="Times New Roman" w:cs="Times New Roman"/>
              <w:i/>
              <w:color w:val="000000"/>
              <w:lang w:val="zh-CN"/>
            </w:rPr>
            <m:t>e</m:t>
          </m:r>
        </m:oMath>
      </m:oMathPara>
    </w:p>
    <w:p w14:paraId="684FAE25">
      <w:pPr>
        <w:pBdr>
          <w:top w:val="none" w:color="auto" w:sz="0" w:space="0"/>
          <w:left w:val="none" w:color="auto" w:sz="0" w:space="0"/>
          <w:bottom w:val="none" w:color="auto" w:sz="0" w:space="0"/>
          <w:right w:val="none" w:color="auto" w:sz="0" w:space="0"/>
          <w:between w:val="none" w:color="auto" w:sz="0" w:space="0"/>
        </w:pBdr>
        <w:spacing w:before="240"/>
        <w:jc w:val="both"/>
        <w:rPr>
          <w:rFonts w:hint="default" w:ascii="Times New Roman" w:hAnsi="Times New Roman" w:eastAsia="Times New Roman" w:cs="Times New Roman"/>
          <w:b/>
          <w:bCs/>
          <w:color w:val="000000"/>
          <w:lang w:val="zh-CN"/>
        </w:rPr>
      </w:pPr>
      <w:r>
        <w:rPr>
          <w:rFonts w:hint="default" w:ascii="Times New Roman" w:hAnsi="Times New Roman" w:eastAsia="Times New Roman" w:cs="Times New Roman"/>
          <w:b/>
          <w:bCs/>
          <w:i/>
          <w:iCs/>
          <w:color w:val="000000"/>
          <w:lang w:val="zh-CN"/>
        </w:rPr>
        <w:t>Overconfidence</w:t>
      </w:r>
      <w:r>
        <w:rPr>
          <w:rFonts w:hint="default" w:ascii="Times New Roman" w:hAnsi="Times New Roman" w:eastAsia="Times New Roman" w:cs="Times New Roman"/>
          <w:b/>
          <w:bCs/>
          <w:color w:val="000000"/>
          <w:lang w:val="zh-CN"/>
        </w:rPr>
        <w:t xml:space="preserve"> terhadap Pengambilan Keputusan Investasi</w:t>
      </w:r>
    </w:p>
    <w:p w14:paraId="38D194C2">
      <w:pPr>
        <w:pBdr>
          <w:top w:val="none" w:color="auto" w:sz="0" w:space="0"/>
          <w:left w:val="none" w:color="auto" w:sz="0" w:space="0"/>
          <w:bottom w:val="none" w:color="auto" w:sz="0" w:space="0"/>
          <w:right w:val="none" w:color="auto" w:sz="0" w:space="0"/>
          <w:between w:val="none" w:color="auto" w:sz="0" w:space="0"/>
        </w:pBdr>
        <w:spacing w:before="240"/>
        <w:ind w:firstLine="720"/>
        <w:jc w:val="both"/>
        <w:rPr>
          <w:rFonts w:hint="default" w:ascii="Times New Roman" w:hAnsi="Times New Roman" w:eastAsia="Times New Roman" w:cs="Times New Roman"/>
          <w:color w:val="000000"/>
          <w:lang w:val="zh-CN"/>
        </w:rPr>
      </w:pPr>
      <w:r>
        <w:rPr>
          <w:rFonts w:hint="default" w:ascii="Times New Roman" w:hAnsi="Times New Roman" w:eastAsia="Times New Roman" w:cs="Times New Roman"/>
          <w:color w:val="000000"/>
          <w:lang w:val="zh-CN"/>
        </w:rPr>
        <w:t xml:space="preserve">Variabel </w:t>
      </w:r>
      <w:r>
        <w:rPr>
          <w:rFonts w:hint="default" w:ascii="Times New Roman" w:hAnsi="Times New Roman" w:eastAsia="Times New Roman" w:cs="Times New Roman"/>
          <w:i/>
          <w:iCs/>
          <w:color w:val="000000"/>
          <w:lang w:val="zh-CN"/>
        </w:rPr>
        <w:t>overconfidence</w:t>
      </w:r>
      <w:r>
        <w:rPr>
          <w:rFonts w:hint="default" w:ascii="Times New Roman" w:hAnsi="Times New Roman" w:eastAsia="Times New Roman" w:cs="Times New Roman"/>
          <w:color w:val="000000"/>
          <w:lang w:val="zh-CN"/>
        </w:rPr>
        <w:t xml:space="preserve"> terbukti memiliki pengaruh positif dan signifikan terhadap pengambilan keputusan investasi. Hal ini menunjukkan bahwa mahasiswa KSPM yang merasa memiliki pengetahuan pasar modal lebih baik cenderung lebih berani mengambil keputusan spekulatif. Temuan ini sejalan dengan penelitian Sari et al. (2022) yang menyatakan bahwa investor muda seringkali terjebak pada perasaan mampu memprediksi pasar di atas kemampuan aslinya. Di UNUSIDA, edukasi intensif di KSPM tampaknya memberikan "rasa aman" palsu yang meningkatkan kepercayaan diri mahasiswa secara berlebih sehingga   sering mengabaikan risiko diversifikasi.</w:t>
      </w:r>
    </w:p>
    <w:p w14:paraId="5BA11722">
      <w:pPr>
        <w:pBdr>
          <w:top w:val="none" w:color="auto" w:sz="0" w:space="0"/>
          <w:left w:val="none" w:color="auto" w:sz="0" w:space="0"/>
          <w:bottom w:val="none" w:color="auto" w:sz="0" w:space="0"/>
          <w:right w:val="none" w:color="auto" w:sz="0" w:space="0"/>
          <w:between w:val="none" w:color="auto" w:sz="0" w:space="0"/>
        </w:pBdr>
        <w:spacing w:before="240"/>
        <w:jc w:val="both"/>
        <w:rPr>
          <w:rFonts w:hint="default" w:ascii="Times New Roman" w:hAnsi="Times New Roman" w:eastAsia="Times New Roman" w:cs="Times New Roman"/>
          <w:b/>
          <w:bCs/>
          <w:color w:val="000000"/>
          <w:lang w:val="zh-CN"/>
        </w:rPr>
      </w:pPr>
      <w:r>
        <w:rPr>
          <w:rFonts w:hint="default" w:ascii="Times New Roman" w:hAnsi="Times New Roman" w:eastAsia="Times New Roman" w:cs="Times New Roman"/>
          <w:b/>
          <w:bCs/>
          <w:i/>
          <w:iCs/>
          <w:color w:val="000000"/>
          <w:lang w:val="zh-CN"/>
        </w:rPr>
        <w:t xml:space="preserve">Confirmation Bias </w:t>
      </w:r>
      <w:r>
        <w:rPr>
          <w:rFonts w:hint="default" w:ascii="Times New Roman" w:hAnsi="Times New Roman" w:eastAsia="Times New Roman" w:cs="Times New Roman"/>
          <w:b/>
          <w:bCs/>
          <w:color w:val="000000"/>
          <w:lang w:val="zh-CN"/>
        </w:rPr>
        <w:t>terhadap Pengambilan Keputusan Investasi</w:t>
      </w:r>
    </w:p>
    <w:p w14:paraId="5B44B542">
      <w:pPr>
        <w:pBdr>
          <w:top w:val="none" w:color="auto" w:sz="0" w:space="0"/>
          <w:left w:val="none" w:color="auto" w:sz="0" w:space="0"/>
          <w:bottom w:val="none" w:color="auto" w:sz="0" w:space="0"/>
          <w:right w:val="none" w:color="auto" w:sz="0" w:space="0"/>
          <w:between w:val="none" w:color="auto" w:sz="0" w:space="0"/>
        </w:pBdr>
        <w:spacing w:before="240"/>
        <w:ind w:firstLine="720"/>
        <w:jc w:val="both"/>
        <w:rPr>
          <w:rFonts w:hint="default" w:ascii="Times New Roman" w:hAnsi="Times New Roman" w:eastAsia="Times New Roman" w:cs="Times New Roman"/>
          <w:color w:val="000000"/>
          <w:lang w:val="zh-CN"/>
        </w:rPr>
      </w:pPr>
      <w:r>
        <w:rPr>
          <w:rFonts w:hint="default" w:ascii="Times New Roman" w:hAnsi="Times New Roman" w:eastAsia="Times New Roman" w:cs="Times New Roman"/>
          <w:color w:val="000000"/>
          <w:lang w:val="zh-CN"/>
        </w:rPr>
        <w:t xml:space="preserve">Selanjutnya, </w:t>
      </w:r>
      <w:r>
        <w:rPr>
          <w:rFonts w:hint="default" w:ascii="Times New Roman" w:hAnsi="Times New Roman" w:eastAsia="Times New Roman" w:cs="Times New Roman"/>
          <w:i/>
          <w:iCs/>
          <w:color w:val="000000"/>
          <w:lang w:val="zh-CN"/>
        </w:rPr>
        <w:t>confirmation bias</w:t>
      </w:r>
      <w:r>
        <w:rPr>
          <w:rFonts w:hint="default" w:ascii="Times New Roman" w:hAnsi="Times New Roman" w:eastAsia="Times New Roman" w:cs="Times New Roman"/>
          <w:color w:val="000000"/>
          <w:lang w:val="zh-CN"/>
        </w:rPr>
        <w:t xml:space="preserve"> juga menunjukkan pengaruh positif yang signifikan. Mahasiswa cenderung hanya memproses informasi yang memvalidasi keputusan beli atau jual yang sudah   rencanakan sebelumnya. Fenomena ini diperkuat oleh penggunaan media sosial sebagai sumber informasi utama, di mana algoritma digital cenderung menyajikan berita yang searah dengan minat  . Menurut Fahmi &amp; Syarif (2023), bias konfirmasi pada investor Gen Z menciptakan </w:t>
      </w:r>
      <w:r>
        <w:rPr>
          <w:rFonts w:hint="default" w:ascii="Times New Roman" w:hAnsi="Times New Roman" w:eastAsia="Times New Roman" w:cs="Times New Roman"/>
          <w:i/>
          <w:iCs/>
          <w:color w:val="000000"/>
          <w:lang w:val="zh-CN"/>
        </w:rPr>
        <w:t>blind spot</w:t>
      </w:r>
      <w:r>
        <w:rPr>
          <w:rFonts w:hint="default" w:ascii="Times New Roman" w:hAnsi="Times New Roman" w:eastAsia="Times New Roman" w:cs="Times New Roman"/>
          <w:color w:val="000000"/>
          <w:lang w:val="zh-CN"/>
        </w:rPr>
        <w:t xml:space="preserve"> kognitif yang membuat   resisten terhadap berita negatif emiten, sehingga keputusan investasi menjadi kurang objektif dan lebih didorong oleh keinginan mencari pembenaran.</w:t>
      </w:r>
    </w:p>
    <w:p w14:paraId="5A0BD6F2">
      <w:pPr>
        <w:pBdr>
          <w:top w:val="none" w:color="auto" w:sz="0" w:space="0"/>
          <w:left w:val="none" w:color="auto" w:sz="0" w:space="0"/>
          <w:bottom w:val="none" w:color="auto" w:sz="0" w:space="0"/>
          <w:right w:val="none" w:color="auto" w:sz="0" w:space="0"/>
          <w:between w:val="none" w:color="auto" w:sz="0" w:space="0"/>
        </w:pBdr>
        <w:spacing w:before="240"/>
        <w:jc w:val="both"/>
        <w:rPr>
          <w:rFonts w:hint="default" w:ascii="Times New Roman" w:hAnsi="Times New Roman" w:eastAsia="Times New Roman" w:cs="Times New Roman"/>
          <w:b/>
          <w:bCs/>
          <w:color w:val="000000"/>
          <w:lang w:val="zh-CN"/>
        </w:rPr>
      </w:pPr>
      <w:r>
        <w:rPr>
          <w:rFonts w:hint="default" w:ascii="Times New Roman" w:hAnsi="Times New Roman" w:eastAsia="Times New Roman" w:cs="Times New Roman"/>
          <w:b/>
          <w:bCs/>
          <w:i/>
          <w:iCs/>
          <w:color w:val="000000"/>
          <w:lang w:val="zh-CN"/>
        </w:rPr>
        <w:t xml:space="preserve">Herd Behavior </w:t>
      </w:r>
      <w:r>
        <w:rPr>
          <w:rFonts w:hint="default" w:ascii="Times New Roman" w:hAnsi="Times New Roman" w:eastAsia="Times New Roman" w:cs="Times New Roman"/>
          <w:b/>
          <w:bCs/>
          <w:color w:val="000000"/>
          <w:lang w:val="zh-CN"/>
        </w:rPr>
        <w:t>terhadap Pengambilan Keputusan Investasi</w:t>
      </w:r>
    </w:p>
    <w:p w14:paraId="75EA9C8F">
      <w:pPr>
        <w:pBdr>
          <w:top w:val="none" w:color="auto" w:sz="0" w:space="0"/>
          <w:left w:val="none" w:color="auto" w:sz="0" w:space="0"/>
          <w:bottom w:val="none" w:color="auto" w:sz="0" w:space="0"/>
          <w:right w:val="none" w:color="auto" w:sz="0" w:space="0"/>
          <w:between w:val="none" w:color="auto" w:sz="0" w:space="0"/>
        </w:pBdr>
        <w:spacing w:before="240"/>
        <w:ind w:firstLine="720"/>
        <w:jc w:val="both"/>
        <w:rPr>
          <w:rFonts w:hint="default" w:ascii="Times New Roman" w:hAnsi="Times New Roman" w:eastAsia="Times New Roman" w:cs="Times New Roman"/>
          <w:color w:val="000000"/>
          <w:lang w:val="zh-CN"/>
        </w:rPr>
      </w:pPr>
      <w:r>
        <w:rPr>
          <w:rFonts w:hint="default" w:ascii="Times New Roman" w:hAnsi="Times New Roman" w:eastAsia="Times New Roman" w:cs="Times New Roman"/>
          <w:i/>
          <w:iCs/>
          <w:color w:val="000000"/>
          <w:lang w:val="zh-CN"/>
        </w:rPr>
        <w:t>Herd behavior</w:t>
      </w:r>
      <w:r>
        <w:rPr>
          <w:rFonts w:hint="default" w:ascii="Times New Roman" w:hAnsi="Times New Roman" w:eastAsia="Times New Roman" w:cs="Times New Roman"/>
          <w:color w:val="000000"/>
          <w:lang w:val="zh-CN"/>
        </w:rPr>
        <w:t xml:space="preserve"> ditemukan sebagai variabel yang paling dominan mempengaruhi keputusan investasi mahasiswa KSPM UNUSIDA. Sifat organisasi KSPM yang komunal dan adanya tokoh-tokoh senior yang dianggap sebagai "panutan" memicu perilaku ikut-ikutan yang sangat kuat. Mahasiswa seringkali merasa lebih aman ketika membeli saham yang sama dengan mayoritas anggota kelompoknya, meskipun analisis pribadi mungkin berkata lain. Hal ini mengonfirmasi temuan Putra &amp; Rahmawati (2024) bahwa lingkungan Kelompok Studi Pasar Modal memiliki tekanan sosial yang tinggi, di mana konformitas seringkali mengalahkan kemandirian analisis.</w:t>
      </w:r>
    </w:p>
    <w:p w14:paraId="44851641">
      <w:pPr>
        <w:pBdr>
          <w:top w:val="none" w:color="auto" w:sz="0" w:space="0"/>
          <w:left w:val="none" w:color="auto" w:sz="0" w:space="0"/>
          <w:bottom w:val="none" w:color="auto" w:sz="0" w:space="0"/>
          <w:right w:val="none" w:color="auto" w:sz="0" w:space="0"/>
          <w:between w:val="none" w:color="auto" w:sz="0" w:space="0"/>
        </w:pBdr>
        <w:spacing w:before="240"/>
        <w:jc w:val="both"/>
        <w:rPr>
          <w:rFonts w:hint="default" w:ascii="Times New Roman" w:hAnsi="Times New Roman" w:eastAsia="Times New Roman" w:cs="Times New Roman"/>
          <w:color w:val="000000"/>
          <w:lang w:val="zh-CN"/>
        </w:rPr>
      </w:pPr>
      <w:r>
        <w:rPr>
          <w:rFonts w:hint="default" w:ascii="Times New Roman" w:hAnsi="Times New Roman" w:eastAsia="Times New Roman" w:cs="Times New Roman"/>
          <w:color w:val="000000"/>
          <w:lang w:val="zh-CN"/>
        </w:rPr>
        <w:t>Keunikan hasil penelitian di UNUSIDA menunjukkan bahwa pendidikan pasar modal tidak secara otomatis menghilangkan bias keperilakuan. Meskipun responden memahami teori portofolio, praktiknya   tetap dipengaruhi oleh faktor emosional. Setiawan &amp; Arifin (2023) menjelaskan bahwa literasi keuangan saja tidak cukup untuk meredam bias jika tidak dibarengi dengan kontrol diri dan pengalaman mental dalam menghadapi kerugian pasar. Pada mahasiswa KSPM, antusiasme yang tinggi terhadap pasar modal di usia muda seringkali membuat lebih mengedepankan intuisi dan pengaruh kelompok daripada prinsip kehati-hatian.</w:t>
      </w:r>
    </w:p>
    <w:p w14:paraId="40B3A2A4">
      <w:pPr>
        <w:pBdr>
          <w:top w:val="none" w:color="auto" w:sz="0" w:space="0"/>
          <w:left w:val="none" w:color="auto" w:sz="0" w:space="0"/>
          <w:bottom w:val="none" w:color="auto" w:sz="0" w:space="0"/>
          <w:right w:val="none" w:color="auto" w:sz="0" w:space="0"/>
          <w:between w:val="none" w:color="auto" w:sz="0" w:space="0"/>
        </w:pBdr>
        <w:spacing w:before="240"/>
        <w:jc w:val="both"/>
        <w:rPr>
          <w:rFonts w:hint="default" w:ascii="Times New Roman" w:hAnsi="Times New Roman" w:eastAsia="Times New Roman" w:cs="Times New Roman"/>
          <w:color w:val="000000"/>
          <w:lang w:val="zh-CN"/>
        </w:rPr>
      </w:pPr>
      <w:r>
        <w:rPr>
          <w:rFonts w:hint="default" w:ascii="Times New Roman" w:hAnsi="Times New Roman" w:eastAsia="Times New Roman" w:cs="Times New Roman"/>
          <w:color w:val="000000"/>
          <w:lang w:val="zh-CN"/>
        </w:rPr>
        <w:t xml:space="preserve">Secara keseluruhan, interaksi antara ketiga variabel tersebut menggambarkan profil investor mahasiswa di Sidoarjo yang dinamis namun rentan. </w:t>
      </w:r>
      <w:r>
        <w:rPr>
          <w:rFonts w:hint="default" w:ascii="Times New Roman" w:hAnsi="Times New Roman" w:eastAsia="Times New Roman" w:cs="Times New Roman"/>
          <w:i/>
          <w:iCs/>
          <w:color w:val="000000"/>
          <w:lang w:val="zh-CN"/>
        </w:rPr>
        <w:t>Overconfidence</w:t>
      </w:r>
      <w:r>
        <w:rPr>
          <w:rFonts w:hint="default" w:ascii="Times New Roman" w:hAnsi="Times New Roman" w:eastAsia="Times New Roman" w:cs="Times New Roman"/>
          <w:color w:val="000000"/>
          <w:lang w:val="zh-CN"/>
        </w:rPr>
        <w:t xml:space="preserve"> mendorong masuk ke pasar, </w:t>
      </w:r>
      <w:r>
        <w:rPr>
          <w:rFonts w:hint="default" w:ascii="Times New Roman" w:hAnsi="Times New Roman" w:eastAsia="Times New Roman" w:cs="Times New Roman"/>
          <w:i/>
          <w:iCs/>
          <w:color w:val="000000"/>
          <w:lang w:val="zh-CN"/>
        </w:rPr>
        <w:t>confirmation bias</w:t>
      </w:r>
      <w:r>
        <w:rPr>
          <w:rFonts w:hint="default" w:ascii="Times New Roman" w:hAnsi="Times New Roman" w:eastAsia="Times New Roman" w:cs="Times New Roman"/>
          <w:color w:val="000000"/>
          <w:lang w:val="zh-CN"/>
        </w:rPr>
        <w:t xml:space="preserve"> membuat menetap pada pilihan yang salah, dan </w:t>
      </w:r>
      <w:r>
        <w:rPr>
          <w:rFonts w:hint="default" w:ascii="Times New Roman" w:hAnsi="Times New Roman" w:eastAsia="Times New Roman" w:cs="Times New Roman"/>
          <w:i/>
          <w:iCs/>
          <w:color w:val="000000"/>
          <w:lang w:val="zh-CN"/>
        </w:rPr>
        <w:t>herd behavior</w:t>
      </w:r>
      <w:r>
        <w:rPr>
          <w:rFonts w:hint="default" w:ascii="Times New Roman" w:hAnsi="Times New Roman" w:eastAsia="Times New Roman" w:cs="Times New Roman"/>
          <w:color w:val="000000"/>
          <w:lang w:val="zh-CN"/>
        </w:rPr>
        <w:t xml:space="preserve"> mempercepat pergerakan dana   mengikuti arus massa. Temuan ini didukung oleh Wardani &amp; Susanto (2023) yang menekankan bahwa manajemen risiko pada investor muda masih sangat dipengaruhi oleh persepsi subjektif daripada data statistik yang dingin.</w:t>
      </w:r>
    </w:p>
    <w:p w14:paraId="503AE372">
      <w:pPr>
        <w:pBdr>
          <w:top w:val="none" w:color="auto" w:sz="0" w:space="0"/>
          <w:left w:val="none" w:color="auto" w:sz="0" w:space="0"/>
          <w:bottom w:val="none" w:color="auto" w:sz="0" w:space="0"/>
          <w:right w:val="none" w:color="auto" w:sz="0" w:space="0"/>
          <w:between w:val="none" w:color="auto" w:sz="0" w:space="0"/>
        </w:pBdr>
        <w:spacing w:before="240"/>
        <w:jc w:val="both"/>
        <w:rPr>
          <w:rFonts w:hint="default" w:ascii="Times New Roman" w:hAnsi="Times New Roman" w:eastAsia="Times New Roman" w:cs="Times New Roman"/>
          <w:color w:val="000000"/>
          <w:lang w:val="zh-CN"/>
        </w:rPr>
      </w:pPr>
      <w:r>
        <w:rPr>
          <w:rFonts w:hint="default" w:ascii="Times New Roman" w:hAnsi="Times New Roman" w:eastAsia="Times New Roman" w:cs="Times New Roman"/>
          <w:color w:val="000000"/>
          <w:lang w:val="zh-CN"/>
        </w:rPr>
        <w:t>Sebagai penutup, penelitian ini menyimpulkan bahwa faktor psikologis memegang peranan vital dalam ekosistem investasi di lingkungan kampus. Galeri Investasi UNUSIDA perlu menyadari bahwa edukasi teknis harus diimbangi dengan edukasi psikologi investasi guna memitigasi dampak negatif dari bias kognitif. Penguatan mental investor mahasiswa sangat diperlukan agar   tidak hanya menjadi investor yang aktif secara kuantitas, tetapi juga rasional dan resilien dalam menghadapi fluktuasi pasar modal yang tidak pasti di masa depan.</w:t>
      </w:r>
    </w:p>
    <w:p w14:paraId="7B4F61D7">
      <w:pPr>
        <w:numPr>
          <w:ilvl w:val="0"/>
          <w:numId w:val="1"/>
        </w:numPr>
        <w:pBdr>
          <w:top w:val="none" w:color="auto" w:sz="0" w:space="0"/>
          <w:left w:val="none" w:color="auto" w:sz="0" w:space="0"/>
          <w:bottom w:val="none" w:color="auto" w:sz="0" w:space="0"/>
          <w:right w:val="none" w:color="auto" w:sz="0" w:space="0"/>
          <w:between w:val="none" w:color="auto" w:sz="0" w:space="0"/>
        </w:pBdr>
        <w:spacing w:before="240"/>
        <w:rPr>
          <w:rFonts w:hint="default" w:ascii="Times New Roman" w:hAnsi="Times New Roman" w:eastAsia="Times New Roman" w:cs="Times New Roman"/>
          <w:b/>
          <w:bCs/>
          <w:color w:val="000000"/>
        </w:rPr>
      </w:pPr>
      <w:r>
        <w:rPr>
          <w:rFonts w:hint="default" w:ascii="Times New Roman" w:hAnsi="Times New Roman" w:eastAsia="Times New Roman" w:cs="Times New Roman"/>
          <w:b/>
          <w:bCs/>
          <w:color w:val="000000"/>
        </w:rPr>
        <w:t>Kesimpulan</w:t>
      </w:r>
    </w:p>
    <w:p w14:paraId="2F73D92B">
      <w:pPr>
        <w:pBdr>
          <w:top w:val="none" w:color="auto" w:sz="0" w:space="0"/>
          <w:left w:val="none" w:color="auto" w:sz="0" w:space="0"/>
          <w:bottom w:val="none" w:color="auto" w:sz="0" w:space="0"/>
          <w:right w:val="none" w:color="auto" w:sz="0" w:space="0"/>
          <w:between w:val="none" w:color="auto" w:sz="0" w:space="0"/>
        </w:pBdr>
        <w:spacing w:before="240"/>
        <w:ind w:firstLine="720"/>
        <w:jc w:val="both"/>
        <w:rPr>
          <w:rFonts w:hint="default" w:ascii="Times New Roman" w:hAnsi="Times New Roman" w:cs="Times New Roman"/>
        </w:rPr>
      </w:pPr>
      <w:r>
        <w:rPr>
          <w:rFonts w:hint="default" w:ascii="Times New Roman" w:hAnsi="Times New Roman" w:cs="Times New Roman"/>
        </w:rPr>
        <w:t xml:space="preserve">Penelitian ini menyimpulkan bahwa </w:t>
      </w:r>
      <w:r>
        <w:rPr>
          <w:rFonts w:hint="default" w:ascii="Times New Roman" w:hAnsi="Times New Roman" w:cs="Times New Roman"/>
          <w:i/>
          <w:iCs/>
        </w:rPr>
        <w:t>overconfidence</w:t>
      </w:r>
      <w:r>
        <w:rPr>
          <w:rFonts w:hint="default" w:ascii="Times New Roman" w:hAnsi="Times New Roman" w:cs="Times New Roman"/>
        </w:rPr>
        <w:t xml:space="preserve">, </w:t>
      </w:r>
      <w:r>
        <w:rPr>
          <w:rFonts w:hint="default" w:ascii="Times New Roman" w:hAnsi="Times New Roman" w:cs="Times New Roman"/>
          <w:i/>
          <w:iCs/>
        </w:rPr>
        <w:t>confirmation bias</w:t>
      </w:r>
      <w:r>
        <w:rPr>
          <w:rFonts w:hint="default" w:ascii="Times New Roman" w:hAnsi="Times New Roman" w:cs="Times New Roman"/>
        </w:rPr>
        <w:t xml:space="preserve">, dan </w:t>
      </w:r>
      <w:r>
        <w:rPr>
          <w:rFonts w:hint="default" w:ascii="Times New Roman" w:hAnsi="Times New Roman" w:cs="Times New Roman"/>
          <w:i/>
          <w:iCs/>
        </w:rPr>
        <w:t>herd behavior</w:t>
      </w:r>
      <w:r>
        <w:rPr>
          <w:rFonts w:hint="default" w:ascii="Times New Roman" w:hAnsi="Times New Roman" w:cs="Times New Roman"/>
        </w:rPr>
        <w:t xml:space="preserve"> secara simultan memiliki pengaruh yang signifikan terhadap pengambilan keputusan investasi mahasiswa KSPM di Galeri Investasi UNUSIDA. Secara parsial, ketiga bias psikologis tersebut memberikan dampak positif yang nyata. Hal ini mengindikasikan bahwa meskipun mahasiswa KSPM memiliki bekal edukasi pasar modal yang lebih baik dibandingkan mahasiswa umum, kecenderungan untuk mengikuti arus kelompok (FOMO) dan kepercayaan diri yang berlebih masih menjadi pendorong utama dalam transaksi saham dibandingkan hasil analisis mandiri yang objektif.</w:t>
      </w:r>
    </w:p>
    <w:p w14:paraId="47D62800">
      <w:pPr>
        <w:pBdr>
          <w:top w:val="none" w:color="auto" w:sz="0" w:space="0"/>
          <w:left w:val="none" w:color="auto" w:sz="0" w:space="0"/>
          <w:bottom w:val="none" w:color="auto" w:sz="0" w:space="0"/>
          <w:right w:val="none" w:color="auto" w:sz="0" w:space="0"/>
          <w:between w:val="none" w:color="auto" w:sz="0" w:space="0"/>
        </w:pBdr>
        <w:spacing w:before="240"/>
        <w:ind w:firstLine="720"/>
        <w:jc w:val="both"/>
        <w:rPr>
          <w:rFonts w:hint="default" w:ascii="Times New Roman" w:hAnsi="Times New Roman" w:eastAsia="Times New Roman" w:cs="Times New Roman"/>
          <w:b/>
          <w:bCs/>
          <w:color w:val="000000"/>
        </w:rPr>
      </w:pPr>
      <w:r>
        <w:rPr>
          <w:rFonts w:hint="default" w:ascii="Times New Roman" w:hAnsi="Times New Roman" w:cs="Times New Roman"/>
        </w:rPr>
        <w:t>Implikasi dari temuan ini menunjukkan adanya paradoks antara pengetahuan akademis dan praktik psikologis di lapangan. Status sebagai anggota kelompok studi tidak serta-merta membuat mahasiswa terhindar dari perilaku tidak rasional; justru lingkungan organisasi yang erat berpotensi memperkuat bias konfirmasi dan perilaku ikut-ikutan melalui tekanan sosial rekan sebaya. Oleh karena itu, diperlukan reposisi kurikulum edukasi di Galeri Investasi UNUSIDA yang tidak hanya berfokus pada literasi teknis seperti analisis fundamental dan teknikal, tetapi juga harus mengintegrasikan materi psikologi investasi (</w:t>
      </w:r>
      <w:r>
        <w:rPr>
          <w:rFonts w:hint="default" w:ascii="Times New Roman" w:hAnsi="Times New Roman" w:cs="Times New Roman"/>
          <w:i/>
          <w:iCs/>
        </w:rPr>
        <w:t>investor mindfulness</w:t>
      </w:r>
      <w:r>
        <w:rPr>
          <w:rFonts w:hint="default" w:ascii="Times New Roman" w:hAnsi="Times New Roman" w:cs="Times New Roman"/>
        </w:rPr>
        <w:t>) guna memitigasi dampak bias kognitif bagi para investor muda.</w:t>
      </w:r>
    </w:p>
    <w:p w14:paraId="1253ED4C">
      <w:pPr>
        <w:pBdr>
          <w:top w:val="none" w:color="auto" w:sz="0" w:space="0"/>
          <w:left w:val="none" w:color="auto" w:sz="0" w:space="0"/>
          <w:bottom w:val="none" w:color="auto" w:sz="0" w:space="0"/>
          <w:right w:val="none" w:color="auto" w:sz="0" w:space="0"/>
          <w:between w:val="none" w:color="auto" w:sz="0" w:space="0"/>
        </w:pBdr>
        <w:spacing w:before="240"/>
        <w:rPr>
          <w:rFonts w:hint="default" w:ascii="Times New Roman" w:hAnsi="Times New Roman" w:eastAsia="Times New Roman" w:cs="Times New Roman"/>
          <w:b/>
          <w:bCs/>
          <w:color w:val="000000"/>
        </w:rPr>
      </w:pPr>
      <w:r>
        <w:rPr>
          <w:rFonts w:hint="default" w:ascii="Times New Roman" w:hAnsi="Times New Roman" w:eastAsia="Times New Roman" w:cs="Times New Roman"/>
          <w:b/>
          <w:bCs/>
          <w:color w:val="000000"/>
        </w:rPr>
        <w:t>Daftar Pustaka</w:t>
      </w:r>
    </w:p>
    <w:p w14:paraId="38C32DD7">
      <w:pPr>
        <w:pBdr>
          <w:top w:val="none" w:color="auto" w:sz="0" w:space="0"/>
          <w:left w:val="none" w:color="auto" w:sz="0" w:space="0"/>
          <w:bottom w:val="none" w:color="auto" w:sz="0" w:space="0"/>
          <w:right w:val="none" w:color="auto" w:sz="0" w:space="0"/>
          <w:between w:val="none" w:color="auto" w:sz="0" w:space="0"/>
        </w:pBdr>
        <w:spacing w:before="240"/>
        <w:ind w:left="709" w:hanging="709"/>
        <w:rPr>
          <w:rFonts w:hint="default" w:ascii="Times New Roman" w:hAnsi="Times New Roman" w:eastAsia="Times New Roman" w:cs="Times New Roman"/>
          <w:b/>
          <w:bCs/>
          <w:color w:val="000000"/>
        </w:rPr>
      </w:pPr>
      <w:r>
        <w:rPr>
          <w:rFonts w:hint="default" w:ascii="Times New Roman" w:hAnsi="Times New Roman" w:eastAsia="Times New Roman" w:cs="Times New Roman"/>
          <w:color w:val="000000"/>
          <w:lang w:val="zh-CN"/>
        </w:rPr>
        <w:t xml:space="preserve">Aditya, R., &amp; Nugraha, N. (2021). The influence of overconfidence and herding behavior on investment decisions during the COVID-19 pandemic. </w:t>
      </w:r>
      <w:r>
        <w:rPr>
          <w:rFonts w:hint="default" w:ascii="Times New Roman" w:hAnsi="Times New Roman" w:eastAsia="Times New Roman" w:cs="Times New Roman"/>
          <w:i/>
          <w:iCs/>
          <w:color w:val="000000"/>
          <w:lang w:val="zh-CN"/>
        </w:rPr>
        <w:t>Journal of Behavioral Finance and Economics</w:t>
      </w:r>
      <w:r>
        <w:rPr>
          <w:rFonts w:hint="default" w:ascii="Times New Roman" w:hAnsi="Times New Roman" w:eastAsia="Times New Roman" w:cs="Times New Roman"/>
          <w:color w:val="000000"/>
          <w:lang w:val="zh-CN"/>
        </w:rPr>
        <w:t>, 11(2), 45-60.</w:t>
      </w:r>
    </w:p>
    <w:p w14:paraId="32C2518C">
      <w:pPr>
        <w:pBdr>
          <w:top w:val="none" w:color="auto" w:sz="0" w:space="0"/>
          <w:left w:val="none" w:color="auto" w:sz="0" w:space="0"/>
          <w:bottom w:val="none" w:color="auto" w:sz="0" w:space="0"/>
          <w:right w:val="none" w:color="auto" w:sz="0" w:space="0"/>
          <w:between w:val="none" w:color="auto" w:sz="0" w:space="0"/>
        </w:pBdr>
        <w:spacing w:before="240"/>
        <w:ind w:left="709" w:hanging="709"/>
        <w:rPr>
          <w:rFonts w:hint="default" w:ascii="Times New Roman" w:hAnsi="Times New Roman" w:eastAsia="Times New Roman" w:cs="Times New Roman"/>
          <w:b/>
          <w:bCs/>
          <w:color w:val="000000"/>
        </w:rPr>
      </w:pPr>
      <w:r>
        <w:rPr>
          <w:rFonts w:hint="default" w:ascii="Times New Roman" w:hAnsi="Times New Roman" w:eastAsia="Times New Roman" w:cs="Times New Roman"/>
          <w:color w:val="000000"/>
          <w:lang w:val="zh-CN"/>
        </w:rPr>
        <w:t xml:space="preserve">Fahmi, M., &amp; Syarif, H. (2023). Psychological biases in Gen Z investors: A study on investment galleries in East Java. </w:t>
      </w:r>
      <w:r>
        <w:rPr>
          <w:rFonts w:hint="default" w:ascii="Times New Roman" w:hAnsi="Times New Roman" w:eastAsia="Times New Roman" w:cs="Times New Roman"/>
          <w:i/>
          <w:iCs/>
          <w:color w:val="000000"/>
          <w:lang w:val="zh-CN"/>
        </w:rPr>
        <w:t>Indonesian Journal of Capital Market and Leverage</w:t>
      </w:r>
      <w:r>
        <w:rPr>
          <w:rFonts w:hint="default" w:ascii="Times New Roman" w:hAnsi="Times New Roman" w:eastAsia="Times New Roman" w:cs="Times New Roman"/>
          <w:color w:val="000000"/>
          <w:lang w:val="zh-CN"/>
        </w:rPr>
        <w:t>, 5(1), 12-25.</w:t>
      </w:r>
    </w:p>
    <w:p w14:paraId="36BEF5F3">
      <w:pPr>
        <w:pBdr>
          <w:top w:val="none" w:color="auto" w:sz="0" w:space="0"/>
          <w:left w:val="none" w:color="auto" w:sz="0" w:space="0"/>
          <w:bottom w:val="none" w:color="auto" w:sz="0" w:space="0"/>
          <w:right w:val="none" w:color="auto" w:sz="0" w:space="0"/>
          <w:between w:val="none" w:color="auto" w:sz="0" w:space="0"/>
        </w:pBdr>
        <w:spacing w:before="240"/>
        <w:ind w:left="709" w:hanging="709"/>
        <w:rPr>
          <w:rFonts w:hint="default" w:ascii="Times New Roman" w:hAnsi="Times New Roman" w:eastAsia="Times New Roman" w:cs="Times New Roman"/>
          <w:b/>
          <w:bCs/>
          <w:color w:val="000000"/>
        </w:rPr>
      </w:pPr>
      <w:r>
        <w:rPr>
          <w:rFonts w:hint="default" w:ascii="Times New Roman" w:hAnsi="Times New Roman" w:eastAsia="Times New Roman" w:cs="Times New Roman"/>
          <w:color w:val="000000"/>
          <w:lang w:val="zh-CN"/>
        </w:rPr>
        <w:t xml:space="preserve">Gumanti, T. S., &amp; Nastiti, P. K. (2022). Behavioral finance in emerging markets: A comprehensive review of cognitive biases. </w:t>
      </w:r>
      <w:r>
        <w:rPr>
          <w:rFonts w:hint="default" w:ascii="Times New Roman" w:hAnsi="Times New Roman" w:eastAsia="Times New Roman" w:cs="Times New Roman"/>
          <w:i/>
          <w:iCs/>
          <w:color w:val="000000"/>
          <w:lang w:val="zh-CN"/>
        </w:rPr>
        <w:t>International Journal of Finance and Banking Studies</w:t>
      </w:r>
      <w:r>
        <w:rPr>
          <w:rFonts w:hint="default" w:ascii="Times New Roman" w:hAnsi="Times New Roman" w:eastAsia="Times New Roman" w:cs="Times New Roman"/>
          <w:color w:val="000000"/>
          <w:lang w:val="zh-CN"/>
        </w:rPr>
        <w:t>, 11(3), 88-102.</w:t>
      </w:r>
    </w:p>
    <w:p w14:paraId="56EE2D96">
      <w:pPr>
        <w:pBdr>
          <w:top w:val="none" w:color="auto" w:sz="0" w:space="0"/>
          <w:left w:val="none" w:color="auto" w:sz="0" w:space="0"/>
          <w:bottom w:val="none" w:color="auto" w:sz="0" w:space="0"/>
          <w:right w:val="none" w:color="auto" w:sz="0" w:space="0"/>
          <w:between w:val="none" w:color="auto" w:sz="0" w:space="0"/>
        </w:pBdr>
        <w:spacing w:before="240"/>
        <w:ind w:left="709" w:hanging="709"/>
        <w:rPr>
          <w:rFonts w:hint="default" w:ascii="Times New Roman" w:hAnsi="Times New Roman" w:eastAsia="Times New Roman" w:cs="Times New Roman"/>
          <w:b/>
          <w:bCs/>
          <w:color w:val="000000"/>
        </w:rPr>
      </w:pPr>
      <w:r>
        <w:rPr>
          <w:rFonts w:hint="default" w:ascii="Times New Roman" w:hAnsi="Times New Roman" w:eastAsia="Times New Roman" w:cs="Times New Roman"/>
          <w:color w:val="000000"/>
          <w:lang w:val="zh-CN"/>
        </w:rPr>
        <w:t xml:space="preserve">Hapsari, D., &amp; Setiawan, B. (2024). The role of confirmation bias and social media echo chambers in retail investors' decision making. </w:t>
      </w:r>
      <w:r>
        <w:rPr>
          <w:rFonts w:hint="default" w:ascii="Times New Roman" w:hAnsi="Times New Roman" w:eastAsia="Times New Roman" w:cs="Times New Roman"/>
          <w:i/>
          <w:iCs/>
          <w:color w:val="000000"/>
          <w:lang w:val="zh-CN"/>
        </w:rPr>
        <w:t>Journal of Financial Psychology</w:t>
      </w:r>
      <w:r>
        <w:rPr>
          <w:rFonts w:hint="default" w:ascii="Times New Roman" w:hAnsi="Times New Roman" w:eastAsia="Times New Roman" w:cs="Times New Roman"/>
          <w:color w:val="000000"/>
          <w:lang w:val="zh-CN"/>
        </w:rPr>
        <w:t>, 9(1), 33-47.</w:t>
      </w:r>
    </w:p>
    <w:p w14:paraId="0A57CA2F">
      <w:pPr>
        <w:pBdr>
          <w:top w:val="none" w:color="auto" w:sz="0" w:space="0"/>
          <w:left w:val="none" w:color="auto" w:sz="0" w:space="0"/>
          <w:bottom w:val="none" w:color="auto" w:sz="0" w:space="0"/>
          <w:right w:val="none" w:color="auto" w:sz="0" w:space="0"/>
          <w:between w:val="none" w:color="auto" w:sz="0" w:space="0"/>
        </w:pBdr>
        <w:spacing w:before="240"/>
        <w:ind w:left="709" w:hanging="709"/>
        <w:rPr>
          <w:rFonts w:hint="default" w:ascii="Times New Roman" w:hAnsi="Times New Roman" w:eastAsia="Times New Roman" w:cs="Times New Roman"/>
          <w:b/>
          <w:bCs/>
          <w:color w:val="000000"/>
        </w:rPr>
      </w:pPr>
      <w:r>
        <w:rPr>
          <w:rFonts w:hint="default" w:ascii="Times New Roman" w:hAnsi="Times New Roman" w:eastAsia="Times New Roman" w:cs="Times New Roman"/>
          <w:color w:val="000000"/>
          <w:lang w:val="zh-CN"/>
        </w:rPr>
        <w:t xml:space="preserve">KSEI. (2025). </w:t>
      </w:r>
      <w:r>
        <w:rPr>
          <w:rFonts w:hint="default" w:ascii="Times New Roman" w:hAnsi="Times New Roman" w:eastAsia="Times New Roman" w:cs="Times New Roman"/>
          <w:i/>
          <w:iCs/>
          <w:color w:val="000000"/>
          <w:lang w:val="zh-CN"/>
        </w:rPr>
        <w:t>Statistik Pasar Modal Indonesia: Demografi Investor Domestik</w:t>
      </w:r>
      <w:r>
        <w:rPr>
          <w:rFonts w:hint="default" w:ascii="Times New Roman" w:hAnsi="Times New Roman" w:eastAsia="Times New Roman" w:cs="Times New Roman"/>
          <w:color w:val="000000"/>
          <w:lang w:val="zh-CN"/>
        </w:rPr>
        <w:t>. Jakarta: PT Kustodian Sentral Efek Indonesia.</w:t>
      </w:r>
    </w:p>
    <w:p w14:paraId="64F415C2">
      <w:pPr>
        <w:pBdr>
          <w:top w:val="none" w:color="auto" w:sz="0" w:space="0"/>
          <w:left w:val="none" w:color="auto" w:sz="0" w:space="0"/>
          <w:bottom w:val="none" w:color="auto" w:sz="0" w:space="0"/>
          <w:right w:val="none" w:color="auto" w:sz="0" w:space="0"/>
          <w:between w:val="none" w:color="auto" w:sz="0" w:space="0"/>
        </w:pBdr>
        <w:spacing w:before="240"/>
        <w:ind w:left="709" w:hanging="709"/>
        <w:rPr>
          <w:rFonts w:hint="default" w:ascii="Times New Roman" w:hAnsi="Times New Roman" w:eastAsia="Times New Roman" w:cs="Times New Roman"/>
          <w:b/>
          <w:bCs/>
          <w:color w:val="000000"/>
        </w:rPr>
      </w:pPr>
      <w:r>
        <w:rPr>
          <w:rFonts w:hint="default" w:ascii="Times New Roman" w:hAnsi="Times New Roman" w:eastAsia="Times New Roman" w:cs="Times New Roman"/>
          <w:color w:val="000000"/>
          <w:lang w:val="zh-CN"/>
        </w:rPr>
        <w:t xml:space="preserve">Lestari, W., &amp; Putri, A. (2022). Overconfidence and loss aversion: Evidence from student investors in investment galleries. </w:t>
      </w:r>
      <w:r>
        <w:rPr>
          <w:rFonts w:hint="default" w:ascii="Times New Roman" w:hAnsi="Times New Roman" w:eastAsia="Times New Roman" w:cs="Times New Roman"/>
          <w:i/>
          <w:iCs/>
          <w:color w:val="000000"/>
          <w:lang w:val="zh-CN"/>
        </w:rPr>
        <w:t>Journal of Accounting and Strategic Finance</w:t>
      </w:r>
      <w:r>
        <w:rPr>
          <w:rFonts w:hint="default" w:ascii="Times New Roman" w:hAnsi="Times New Roman" w:eastAsia="Times New Roman" w:cs="Times New Roman"/>
          <w:color w:val="000000"/>
          <w:lang w:val="zh-CN"/>
        </w:rPr>
        <w:t>, 5(2), 110-125.</w:t>
      </w:r>
    </w:p>
    <w:p w14:paraId="02F3A585">
      <w:pPr>
        <w:pBdr>
          <w:top w:val="none" w:color="auto" w:sz="0" w:space="0"/>
          <w:left w:val="none" w:color="auto" w:sz="0" w:space="0"/>
          <w:bottom w:val="none" w:color="auto" w:sz="0" w:space="0"/>
          <w:right w:val="none" w:color="auto" w:sz="0" w:space="0"/>
          <w:between w:val="none" w:color="auto" w:sz="0" w:space="0"/>
        </w:pBdr>
        <w:spacing w:before="240"/>
        <w:ind w:left="709" w:hanging="709"/>
        <w:rPr>
          <w:rFonts w:hint="default" w:ascii="Times New Roman" w:hAnsi="Times New Roman" w:eastAsia="Times New Roman" w:cs="Times New Roman"/>
          <w:b/>
          <w:bCs/>
          <w:color w:val="000000"/>
        </w:rPr>
      </w:pPr>
      <w:r>
        <w:rPr>
          <w:rFonts w:hint="default" w:ascii="Times New Roman" w:hAnsi="Times New Roman" w:eastAsia="Times New Roman" w:cs="Times New Roman"/>
          <w:color w:val="000000"/>
          <w:lang w:val="zh-CN"/>
        </w:rPr>
        <w:t xml:space="preserve">Mulyadi, A., &amp; Herlambang, P. (2021). Herd behavior and FOMO phenomenon among young stock investors in Indonesia. </w:t>
      </w:r>
      <w:r>
        <w:rPr>
          <w:rFonts w:hint="default" w:ascii="Times New Roman" w:hAnsi="Times New Roman" w:eastAsia="Times New Roman" w:cs="Times New Roman"/>
          <w:i/>
          <w:iCs/>
          <w:color w:val="000000"/>
          <w:lang w:val="zh-CN"/>
        </w:rPr>
        <w:t>Economic and Business Review</w:t>
      </w:r>
      <w:r>
        <w:rPr>
          <w:rFonts w:hint="default" w:ascii="Times New Roman" w:hAnsi="Times New Roman" w:eastAsia="Times New Roman" w:cs="Times New Roman"/>
          <w:color w:val="000000"/>
          <w:lang w:val="zh-CN"/>
        </w:rPr>
        <w:t>, 18(4), 201-215.</w:t>
      </w:r>
    </w:p>
    <w:p w14:paraId="5821A453">
      <w:pPr>
        <w:pBdr>
          <w:top w:val="none" w:color="auto" w:sz="0" w:space="0"/>
          <w:left w:val="none" w:color="auto" w:sz="0" w:space="0"/>
          <w:bottom w:val="none" w:color="auto" w:sz="0" w:space="0"/>
          <w:right w:val="none" w:color="auto" w:sz="0" w:space="0"/>
          <w:between w:val="none" w:color="auto" w:sz="0" w:space="0"/>
        </w:pBdr>
        <w:spacing w:before="240"/>
        <w:ind w:left="709" w:hanging="709"/>
        <w:rPr>
          <w:rFonts w:hint="default" w:ascii="Times New Roman" w:hAnsi="Times New Roman" w:eastAsia="Times New Roman" w:cs="Times New Roman"/>
          <w:b/>
          <w:bCs/>
          <w:color w:val="000000"/>
        </w:rPr>
      </w:pPr>
      <w:r>
        <w:rPr>
          <w:rFonts w:hint="default" w:ascii="Times New Roman" w:hAnsi="Times New Roman" w:eastAsia="Times New Roman" w:cs="Times New Roman"/>
          <w:color w:val="000000"/>
          <w:lang w:val="zh-CN"/>
        </w:rPr>
        <w:t xml:space="preserve">Pradana, G. W., &amp; Wijayanti, R. (2023). Analisis perilaku bias kognitif pada kelompok studi pasar modal di perguruan tinggi. </w:t>
      </w:r>
      <w:r>
        <w:rPr>
          <w:rFonts w:hint="default" w:ascii="Times New Roman" w:hAnsi="Times New Roman" w:eastAsia="Times New Roman" w:cs="Times New Roman"/>
          <w:i/>
          <w:iCs/>
          <w:color w:val="000000"/>
          <w:lang w:val="zh-CN"/>
        </w:rPr>
        <w:t>Jurnal Riset Manajemen dan Bisnis</w:t>
      </w:r>
      <w:r>
        <w:rPr>
          <w:rFonts w:hint="default" w:ascii="Times New Roman" w:hAnsi="Times New Roman" w:eastAsia="Times New Roman" w:cs="Times New Roman"/>
          <w:color w:val="000000"/>
          <w:lang w:val="zh-CN"/>
        </w:rPr>
        <w:t>, 8(2), 45-58.</w:t>
      </w:r>
    </w:p>
    <w:p w14:paraId="1DA9E929">
      <w:pPr>
        <w:pBdr>
          <w:top w:val="none" w:color="auto" w:sz="0" w:space="0"/>
          <w:left w:val="none" w:color="auto" w:sz="0" w:space="0"/>
          <w:bottom w:val="none" w:color="auto" w:sz="0" w:space="0"/>
          <w:right w:val="none" w:color="auto" w:sz="0" w:space="0"/>
          <w:between w:val="none" w:color="auto" w:sz="0" w:space="0"/>
        </w:pBdr>
        <w:spacing w:before="240"/>
        <w:ind w:left="709" w:hanging="709"/>
        <w:rPr>
          <w:rFonts w:hint="default" w:ascii="Times New Roman" w:hAnsi="Times New Roman" w:eastAsia="Times New Roman" w:cs="Times New Roman"/>
          <w:b/>
          <w:bCs/>
          <w:color w:val="000000"/>
        </w:rPr>
      </w:pPr>
      <w:r>
        <w:rPr>
          <w:rFonts w:hint="default" w:ascii="Times New Roman" w:hAnsi="Times New Roman" w:eastAsia="Times New Roman" w:cs="Times New Roman"/>
          <w:color w:val="000000"/>
          <w:lang w:val="zh-CN"/>
        </w:rPr>
        <w:t xml:space="preserve">Putra, I. G. S., &amp; Rahmawati, L. (2024). Do education and experience mitigate behavioral biases? A study on KSPM members. </w:t>
      </w:r>
      <w:r>
        <w:rPr>
          <w:rFonts w:hint="default" w:ascii="Times New Roman" w:hAnsi="Times New Roman" w:eastAsia="Times New Roman" w:cs="Times New Roman"/>
          <w:i/>
          <w:iCs/>
          <w:color w:val="000000"/>
          <w:lang w:val="zh-CN"/>
        </w:rPr>
        <w:t>Asian Journal of Financial Education</w:t>
      </w:r>
      <w:r>
        <w:rPr>
          <w:rFonts w:hint="default" w:ascii="Times New Roman" w:hAnsi="Times New Roman" w:eastAsia="Times New Roman" w:cs="Times New Roman"/>
          <w:color w:val="000000"/>
          <w:lang w:val="zh-CN"/>
        </w:rPr>
        <w:t>, 3(1), 77-92.</w:t>
      </w:r>
    </w:p>
    <w:p w14:paraId="5208794F">
      <w:pPr>
        <w:pBdr>
          <w:top w:val="none" w:color="auto" w:sz="0" w:space="0"/>
          <w:left w:val="none" w:color="auto" w:sz="0" w:space="0"/>
          <w:bottom w:val="none" w:color="auto" w:sz="0" w:space="0"/>
          <w:right w:val="none" w:color="auto" w:sz="0" w:space="0"/>
          <w:between w:val="none" w:color="auto" w:sz="0" w:space="0"/>
        </w:pBdr>
        <w:spacing w:before="240"/>
        <w:ind w:left="709" w:hanging="709"/>
        <w:rPr>
          <w:rFonts w:hint="default" w:ascii="Times New Roman" w:hAnsi="Times New Roman" w:eastAsia="Times New Roman" w:cs="Times New Roman"/>
          <w:b/>
          <w:bCs/>
          <w:color w:val="000000"/>
        </w:rPr>
      </w:pPr>
      <w:r>
        <w:rPr>
          <w:rFonts w:hint="default" w:ascii="Times New Roman" w:hAnsi="Times New Roman" w:eastAsia="Times New Roman" w:cs="Times New Roman"/>
          <w:color w:val="000000"/>
          <w:lang w:val="zh-CN"/>
        </w:rPr>
        <w:t xml:space="preserve">Rahayu, S., &amp; Santoso, T. (2022). Pengaruh bias konfirmasi dan heuristik terhadap keputusan investasi saham mahasiswa. </w:t>
      </w:r>
      <w:r>
        <w:rPr>
          <w:rFonts w:hint="default" w:ascii="Times New Roman" w:hAnsi="Times New Roman" w:eastAsia="Times New Roman" w:cs="Times New Roman"/>
          <w:i/>
          <w:iCs/>
          <w:color w:val="000000"/>
          <w:lang w:val="zh-CN"/>
        </w:rPr>
        <w:t>Jurnal Keuangan dan Perbankan</w:t>
      </w:r>
      <w:r>
        <w:rPr>
          <w:rFonts w:hint="default" w:ascii="Times New Roman" w:hAnsi="Times New Roman" w:eastAsia="Times New Roman" w:cs="Times New Roman"/>
          <w:color w:val="000000"/>
          <w:lang w:val="zh-CN"/>
        </w:rPr>
        <w:t>, 26(3), 560-575.</w:t>
      </w:r>
    </w:p>
    <w:p w14:paraId="2A22AC35">
      <w:pPr>
        <w:pBdr>
          <w:top w:val="none" w:color="auto" w:sz="0" w:space="0"/>
          <w:left w:val="none" w:color="auto" w:sz="0" w:space="0"/>
          <w:bottom w:val="none" w:color="auto" w:sz="0" w:space="0"/>
          <w:right w:val="none" w:color="auto" w:sz="0" w:space="0"/>
          <w:between w:val="none" w:color="auto" w:sz="0" w:space="0"/>
        </w:pBdr>
        <w:spacing w:before="240"/>
        <w:ind w:left="709" w:hanging="709"/>
        <w:rPr>
          <w:rFonts w:hint="default" w:ascii="Times New Roman" w:hAnsi="Times New Roman" w:eastAsia="Times New Roman" w:cs="Times New Roman"/>
          <w:b/>
          <w:bCs/>
          <w:color w:val="000000"/>
        </w:rPr>
      </w:pPr>
      <w:r>
        <w:rPr>
          <w:rFonts w:hint="default" w:ascii="Times New Roman" w:hAnsi="Times New Roman" w:eastAsia="Times New Roman" w:cs="Times New Roman"/>
          <w:color w:val="000000"/>
          <w:lang w:val="zh-CN"/>
        </w:rPr>
        <w:t xml:space="preserve">Sari, D. P., et al. (2022). Behavioral finance perspective: How overconfidence affects trading frequency among young investors. </w:t>
      </w:r>
      <w:r>
        <w:rPr>
          <w:rFonts w:hint="default" w:ascii="Times New Roman" w:hAnsi="Times New Roman" w:eastAsia="Times New Roman" w:cs="Times New Roman"/>
          <w:i/>
          <w:iCs/>
          <w:color w:val="000000"/>
          <w:lang w:val="zh-CN"/>
        </w:rPr>
        <w:t>Journal of Contemporary Accounting</w:t>
      </w:r>
      <w:r>
        <w:rPr>
          <w:rFonts w:hint="default" w:ascii="Times New Roman" w:hAnsi="Times New Roman" w:eastAsia="Times New Roman" w:cs="Times New Roman"/>
          <w:color w:val="000000"/>
          <w:lang w:val="zh-CN"/>
        </w:rPr>
        <w:t>, 4(1), 15-28.</w:t>
      </w:r>
    </w:p>
    <w:p w14:paraId="09B03880">
      <w:pPr>
        <w:pBdr>
          <w:top w:val="none" w:color="auto" w:sz="0" w:space="0"/>
          <w:left w:val="none" w:color="auto" w:sz="0" w:space="0"/>
          <w:bottom w:val="none" w:color="auto" w:sz="0" w:space="0"/>
          <w:right w:val="none" w:color="auto" w:sz="0" w:space="0"/>
          <w:between w:val="none" w:color="auto" w:sz="0" w:space="0"/>
        </w:pBdr>
        <w:spacing w:before="240"/>
        <w:ind w:left="709" w:hanging="709"/>
        <w:rPr>
          <w:rFonts w:hint="default" w:ascii="Times New Roman" w:hAnsi="Times New Roman" w:eastAsia="Times New Roman" w:cs="Times New Roman"/>
          <w:b/>
          <w:bCs/>
          <w:color w:val="000000"/>
        </w:rPr>
      </w:pPr>
      <w:r>
        <w:rPr>
          <w:rFonts w:hint="default" w:ascii="Times New Roman" w:hAnsi="Times New Roman" w:eastAsia="Times New Roman" w:cs="Times New Roman"/>
          <w:color w:val="000000"/>
          <w:lang w:val="zh-CN"/>
        </w:rPr>
        <w:t xml:space="preserve">Setiawan, M. R., &amp; Arifin, Z. (2023). The interaction of financial literacy and psychological biases in investment decision making. </w:t>
      </w:r>
      <w:r>
        <w:rPr>
          <w:rFonts w:hint="default" w:ascii="Times New Roman" w:hAnsi="Times New Roman" w:eastAsia="Times New Roman" w:cs="Times New Roman"/>
          <w:i/>
          <w:iCs/>
          <w:color w:val="000000"/>
          <w:lang w:val="zh-CN"/>
        </w:rPr>
        <w:t>Global Business and Economics Review</w:t>
      </w:r>
      <w:r>
        <w:rPr>
          <w:rFonts w:hint="default" w:ascii="Times New Roman" w:hAnsi="Times New Roman" w:eastAsia="Times New Roman" w:cs="Times New Roman"/>
          <w:color w:val="000000"/>
          <w:lang w:val="zh-CN"/>
        </w:rPr>
        <w:t>, 28(2), 134-150.</w:t>
      </w:r>
    </w:p>
    <w:p w14:paraId="2B62DA34">
      <w:pPr>
        <w:pBdr>
          <w:top w:val="none" w:color="auto" w:sz="0" w:space="0"/>
          <w:left w:val="none" w:color="auto" w:sz="0" w:space="0"/>
          <w:bottom w:val="none" w:color="auto" w:sz="0" w:space="0"/>
          <w:right w:val="none" w:color="auto" w:sz="0" w:space="0"/>
          <w:between w:val="none" w:color="auto" w:sz="0" w:space="0"/>
        </w:pBdr>
        <w:spacing w:before="240"/>
        <w:ind w:left="709" w:hanging="709"/>
        <w:rPr>
          <w:rFonts w:hint="default" w:ascii="Times New Roman" w:hAnsi="Times New Roman" w:eastAsia="Times New Roman" w:cs="Times New Roman"/>
          <w:b/>
          <w:bCs/>
          <w:color w:val="000000"/>
        </w:rPr>
      </w:pPr>
      <w:r>
        <w:rPr>
          <w:rFonts w:hint="default" w:ascii="Times New Roman" w:hAnsi="Times New Roman" w:eastAsia="Times New Roman" w:cs="Times New Roman"/>
          <w:color w:val="000000"/>
          <w:lang w:val="zh-CN"/>
        </w:rPr>
        <w:t xml:space="preserve">Thaler, R. H. (2021). </w:t>
      </w:r>
      <w:r>
        <w:rPr>
          <w:rFonts w:hint="default" w:ascii="Times New Roman" w:hAnsi="Times New Roman" w:eastAsia="Times New Roman" w:cs="Times New Roman"/>
          <w:i/>
          <w:iCs/>
          <w:color w:val="000000"/>
          <w:lang w:val="zh-CN"/>
        </w:rPr>
        <w:t>Nudge and Choice Architecture in Financial Markets</w:t>
      </w:r>
      <w:r>
        <w:rPr>
          <w:rFonts w:hint="default" w:ascii="Times New Roman" w:hAnsi="Times New Roman" w:eastAsia="Times New Roman" w:cs="Times New Roman"/>
          <w:color w:val="000000"/>
          <w:lang w:val="zh-CN"/>
        </w:rPr>
        <w:t>. Yale University Press (Updated Edition).</w:t>
      </w:r>
    </w:p>
    <w:p w14:paraId="0A59D070">
      <w:pPr>
        <w:pBdr>
          <w:top w:val="none" w:color="auto" w:sz="0" w:space="0"/>
          <w:left w:val="none" w:color="auto" w:sz="0" w:space="0"/>
          <w:bottom w:val="none" w:color="auto" w:sz="0" w:space="0"/>
          <w:right w:val="none" w:color="auto" w:sz="0" w:space="0"/>
          <w:between w:val="none" w:color="auto" w:sz="0" w:space="0"/>
        </w:pBdr>
        <w:spacing w:before="240"/>
        <w:ind w:left="709" w:hanging="709"/>
        <w:rPr>
          <w:rFonts w:hint="default" w:ascii="Times New Roman" w:hAnsi="Times New Roman" w:eastAsia="Times New Roman" w:cs="Times New Roman"/>
          <w:b/>
          <w:bCs/>
          <w:color w:val="000000"/>
        </w:rPr>
      </w:pPr>
      <w:r>
        <w:rPr>
          <w:rFonts w:hint="default" w:ascii="Times New Roman" w:hAnsi="Times New Roman" w:eastAsia="Times New Roman" w:cs="Times New Roman"/>
          <w:color w:val="000000"/>
          <w:lang w:val="zh-CN"/>
        </w:rPr>
        <w:t xml:space="preserve">Utami, P., &amp; Kusuma, H. (2025). Digitalization and its impact on herd behavior among Gen Z investors in Sidoarjo. </w:t>
      </w:r>
      <w:r>
        <w:rPr>
          <w:rFonts w:hint="default" w:ascii="Times New Roman" w:hAnsi="Times New Roman" w:eastAsia="Times New Roman" w:cs="Times New Roman"/>
          <w:i/>
          <w:iCs/>
          <w:color w:val="000000"/>
          <w:lang w:val="zh-CN"/>
        </w:rPr>
        <w:t>Journal of Indonesian Economy and Business</w:t>
      </w:r>
      <w:r>
        <w:rPr>
          <w:rFonts w:hint="default" w:ascii="Times New Roman" w:hAnsi="Times New Roman" w:eastAsia="Times New Roman" w:cs="Times New Roman"/>
          <w:color w:val="000000"/>
          <w:lang w:val="zh-CN"/>
        </w:rPr>
        <w:t>, 40(1), 102-118.</w:t>
      </w:r>
    </w:p>
    <w:p w14:paraId="775075E1">
      <w:pPr>
        <w:pBdr>
          <w:top w:val="none" w:color="auto" w:sz="0" w:space="0"/>
          <w:left w:val="none" w:color="auto" w:sz="0" w:space="0"/>
          <w:bottom w:val="none" w:color="auto" w:sz="0" w:space="0"/>
          <w:right w:val="none" w:color="auto" w:sz="0" w:space="0"/>
          <w:between w:val="none" w:color="auto" w:sz="0" w:space="0"/>
        </w:pBdr>
        <w:spacing w:before="240"/>
        <w:ind w:left="709" w:hanging="709"/>
        <w:rPr>
          <w:rFonts w:hint="default" w:ascii="Times New Roman" w:hAnsi="Times New Roman" w:eastAsia="Times New Roman" w:cs="Times New Roman"/>
          <w:b/>
          <w:bCs/>
          <w:color w:val="000000"/>
        </w:rPr>
      </w:pPr>
      <w:r>
        <w:rPr>
          <w:rFonts w:hint="default" w:ascii="Times New Roman" w:hAnsi="Times New Roman" w:eastAsia="Times New Roman" w:cs="Times New Roman"/>
          <w:color w:val="000000"/>
          <w:lang w:val="zh-CN"/>
        </w:rPr>
        <w:t xml:space="preserve">Wardani, K., &amp; Susanto, D. (2023). Examining the impact of overconfidence and risk perception on KSPM students' portfolios. </w:t>
      </w:r>
      <w:r>
        <w:rPr>
          <w:rFonts w:hint="default" w:ascii="Times New Roman" w:hAnsi="Times New Roman" w:eastAsia="Times New Roman" w:cs="Times New Roman"/>
          <w:i/>
          <w:iCs/>
          <w:color w:val="000000"/>
          <w:lang w:val="zh-CN"/>
        </w:rPr>
        <w:t>Indonesian Financial Review</w:t>
      </w:r>
      <w:r>
        <w:rPr>
          <w:rFonts w:hint="default" w:ascii="Times New Roman" w:hAnsi="Times New Roman" w:eastAsia="Times New Roman" w:cs="Times New Roman"/>
          <w:color w:val="000000"/>
          <w:lang w:val="zh-CN"/>
        </w:rPr>
        <w:t>, 7(2), 89-104.</w:t>
      </w:r>
    </w:p>
    <w:sectPr>
      <w:headerReference r:id="rId4" w:type="first"/>
      <w:footerReference r:id="rId6" w:type="first"/>
      <w:headerReference r:id="rId3" w:type="default"/>
      <w:footerReference r:id="rId5" w:type="default"/>
      <w:pgSz w:w="11907" w:h="16840"/>
      <w:pgMar w:top="1531" w:right="1418" w:bottom="1531" w:left="1701" w:header="0" w:footer="1021" w:gutter="0"/>
      <w:pgNumType w:fmt="decimal" w:start="37"/>
      <w:cols w:space="720" w:num="1"/>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embedRegular r:id="rId1" w:fontKey="{F29052CE-BC29-49C1-94CE-C095BC56F62C}"/>
  </w:font>
  <w:font w:name="Arial">
    <w:panose1 w:val="020B0604020202020204"/>
    <w:charset w:val="00"/>
    <w:family w:val="swiss"/>
    <w:pitch w:val="default"/>
    <w:sig w:usb0="E0002EFF" w:usb1="C000785B" w:usb2="00000009" w:usb3="00000000" w:csb0="400001FF" w:csb1="FFFF0000"/>
    <w:embedRegular r:id="rId2" w:fontKey="{9E8F17AB-7B3B-4131-A2D6-373E3FB8B071}"/>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embedRegular r:id="rId3" w:fontKey="{B5120767-E8C6-48E7-B445-0A8D1DE3D90E}"/>
  </w:font>
  <w:font w:name="Wingdings">
    <w:panose1 w:val="05000000000000000000"/>
    <w:charset w:val="02"/>
    <w:family w:val="auto"/>
    <w:pitch w:val="default"/>
    <w:sig w:usb0="00000000" w:usb1="00000000" w:usb2="00000000" w:usb3="00000000" w:csb0="80000000" w:csb1="00000000"/>
    <w:embedRegular r:id="rId4" w:fontKey="{1A0B4FA9-C8DF-4915-94ED-B8978F038C72}"/>
  </w:font>
  <w:font w:name="Calibri">
    <w:panose1 w:val="020F0502020204030204"/>
    <w:charset w:val="00"/>
    <w:family w:val="swiss"/>
    <w:pitch w:val="default"/>
    <w:sig w:usb0="E4002EFF" w:usb1="C200247B" w:usb2="00000009" w:usb3="00000000" w:csb0="200001FF" w:csb1="00000000"/>
    <w:embedRegular r:id="rId5" w:fontKey="{E03836E9-7823-4429-9BA5-AB9A814B9CB2}"/>
  </w:font>
  <w:font w:name="等线">
    <w:altName w:val="Arial Unicode MS"/>
    <w:panose1 w:val="00000000000000000000"/>
    <w:charset w:val="86"/>
    <w:family w:val="auto"/>
    <w:pitch w:val="default"/>
    <w:sig w:usb0="00000000" w:usb1="00000000" w:usb2="00000000" w:usb3="00000000" w:csb0="00000000" w:csb1="00000000"/>
  </w:font>
  <w:font w:name="Times">
    <w:altName w:val="SimSun"/>
    <w:panose1 w:val="02020603050405020304"/>
    <w:charset w:val="86"/>
    <w:family w:val="auto"/>
    <w:pitch w:val="default"/>
    <w:sig w:usb0="00000000" w:usb1="00000000" w:usb2="00000000" w:usb3="00000000" w:csb0="00000000" w:csb1="00000000"/>
  </w:font>
  <w:font w:name="Georgia">
    <w:panose1 w:val="02040502050405020303"/>
    <w:charset w:val="00"/>
    <w:family w:val="roman"/>
    <w:pitch w:val="default"/>
    <w:sig w:usb0="00000287" w:usb1="00000000" w:usb2="00000000" w:usb3="00000000" w:csb0="2000009F" w:csb1="00000000"/>
    <w:embedRegular r:id="rId6" w:fontKey="{41BBF18D-2DC7-4B03-83EF-E73E9F072D77}"/>
  </w:font>
  <w:font w:name="Cambria Math">
    <w:panose1 w:val="02040503050406030204"/>
    <w:charset w:val="00"/>
    <w:family w:val="roman"/>
    <w:pitch w:val="default"/>
    <w:sig w:usb0="E00006FF" w:usb1="420024FF" w:usb2="02000000" w:usb3="00000000" w:csb0="2000019F" w:csb1="00000000"/>
    <w:embedRegular r:id="rId7" w:fontKey="{9021DEED-1DE8-4E73-AC8F-365F51A1D82A}"/>
  </w:font>
  <w:font w:name="Segoe UI">
    <w:panose1 w:val="020B0502040204020203"/>
    <w:charset w:val="00"/>
    <w:family w:val="auto"/>
    <w:pitch w:val="default"/>
    <w:sig w:usb0="E4002EFF" w:usb1="C000E47F" w:usb2="00000009" w:usb3="00000000" w:csb0="200001FF" w:csb1="00000000"/>
    <w:embedRegular r:id="rId8" w:fontKey="{883206D6-F6A5-4F15-B54B-CCCD84CBD4CA}"/>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4FE994">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jc w:val="center"/>
      <w:rPr>
        <w:color w:val="000000"/>
        <w:sz w:val="20"/>
        <w:szCs w:val="20"/>
      </w:rPr>
    </w:pPr>
  </w:p>
  <w:p w14:paraId="79C0942D">
    <w:pPr>
      <w:pBdr>
        <w:top w:val="none" w:color="auto" w:sz="0" w:space="0"/>
        <w:left w:val="none" w:color="auto" w:sz="0" w:space="0"/>
        <w:bottom w:val="none" w:color="auto" w:sz="0" w:space="0"/>
        <w:right w:val="none" w:color="auto" w:sz="0" w:space="0"/>
        <w:between w:val="none" w:color="auto" w:sz="0" w:space="0"/>
      </w:pBdr>
      <w:tabs>
        <w:tab w:val="center" w:pos="4680"/>
        <w:tab w:val="right" w:pos="8788"/>
        <w:tab w:val="right" w:pos="9360"/>
      </w:tabs>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B0B809">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26C6F1">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jc w:val="right"/>
      <w:rPr>
        <w:color w:val="000000"/>
        <w:sz w:val="20"/>
        <w:szCs w:val="20"/>
      </w:rPr>
    </w:pPr>
  </w:p>
  <w:p w14:paraId="3DAAFB7D">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jc w:val="right"/>
      <w:rPr>
        <w:color w:val="000000"/>
        <w:sz w:val="20"/>
        <w:szCs w:val="20"/>
      </w:rPr>
    </w:pPr>
  </w:p>
  <w:p w14:paraId="637ECAFE">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jc w:val="right"/>
      <w:rPr>
        <w:color w:val="000000"/>
        <w:sz w:val="20"/>
        <w:szCs w:val="20"/>
      </w:rPr>
    </w:pPr>
    <w:r>
      <w:rPr>
        <w:sz w:val="20"/>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2F49E6">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jc w:val="right"/>
                          </w:pPr>
                          <w:r>
                            <w:rPr>
                              <w:color w:val="000000"/>
                              <w:sz w:val="20"/>
                              <w:szCs w:val="20"/>
                            </w:rPr>
                            <w:fldChar w:fldCharType="begin"/>
                          </w:r>
                          <w:r>
                            <w:rPr>
                              <w:color w:val="000000"/>
                              <w:sz w:val="20"/>
                              <w:szCs w:val="20"/>
                            </w:rPr>
                            <w:instrText xml:space="preserve">PAGE</w:instrText>
                          </w:r>
                          <w:r>
                            <w:rPr>
                              <w:color w:val="000000"/>
                              <w:sz w:val="20"/>
                              <w:szCs w:val="20"/>
                            </w:rPr>
                            <w:fldChar w:fldCharType="separate"/>
                          </w:r>
                          <w:r>
                            <w:rPr>
                              <w:color w:val="000000"/>
                              <w:sz w:val="20"/>
                              <w:szCs w:val="20"/>
                            </w:rPr>
                            <w:t>2</w:t>
                          </w:r>
                          <w:r>
                            <w:rPr>
                              <w:color w:val="000000"/>
                              <w:sz w:val="20"/>
                              <w:szCs w:val="20"/>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s0lY7tAAAAAFAQAA&#10;DwAAAAAAAAABACAAAAAiAAAAZHJzL2Rvd25yZXYueG1sUEsBAhQAFAAAAAgAh07iQHWPZxIhAgAA&#10;YAQAAA4AAAAAAAAAAQAgAAAAHwEAAGRycy9lMm9Eb2MueG1sUEsFBgAAAAAGAAYAWQEAALIFAAAA&#10;AA==&#10;">
              <v:fill on="f" focussize="0,0"/>
              <v:stroke on="f" weight="0.5pt"/>
              <v:imagedata o:title=""/>
              <o:lock v:ext="edit" aspectratio="f"/>
              <v:textbox inset="0mm,0mm,0mm,0mm" style="mso-fit-shape-to-text:t;">
                <w:txbxContent>
                  <w:p w14:paraId="302F49E6">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jc w:val="right"/>
                    </w:pPr>
                    <w:r>
                      <w:rPr>
                        <w:color w:val="000000"/>
                        <w:sz w:val="20"/>
                        <w:szCs w:val="20"/>
                      </w:rPr>
                      <w:fldChar w:fldCharType="begin"/>
                    </w:r>
                    <w:r>
                      <w:rPr>
                        <w:color w:val="000000"/>
                        <w:sz w:val="20"/>
                        <w:szCs w:val="20"/>
                      </w:rPr>
                      <w:instrText xml:space="preserve">PAGE</w:instrText>
                    </w:r>
                    <w:r>
                      <w:rPr>
                        <w:color w:val="000000"/>
                        <w:sz w:val="20"/>
                        <w:szCs w:val="20"/>
                      </w:rPr>
                      <w:fldChar w:fldCharType="separate"/>
                    </w:r>
                    <w:r>
                      <w:rPr>
                        <w:color w:val="000000"/>
                        <w:sz w:val="20"/>
                        <w:szCs w:val="20"/>
                      </w:rPr>
                      <w:t>2</w:t>
                    </w:r>
                    <w:r>
                      <w:rPr>
                        <w:color w:val="000000"/>
                        <w:sz w:val="20"/>
                        <w:szCs w:val="20"/>
                      </w:rPr>
                      <w:fldChar w:fldCharType="end"/>
                    </w:r>
                  </w:p>
                </w:txbxContent>
              </v:textbox>
            </v:shape>
          </w:pict>
        </mc:Fallback>
      </mc:AlternateContent>
    </w:r>
  </w:p>
  <w:p w14:paraId="123E5149">
    <w:pPr>
      <w:rPr>
        <w:sz w:val="20"/>
        <w:szCs w:val="20"/>
      </w:rPr>
    </w:pPr>
  </w:p>
  <w:p w14:paraId="3A8D431A">
    <w:pPr>
      <w:tabs>
        <w:tab w:val="right" w:pos="8789"/>
      </w:tabs>
      <w:rPr>
        <w:color w:val="808080"/>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84A938">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rPr>
        <w:color w:val="000000"/>
      </w:rPr>
    </w:pPr>
  </w:p>
  <w:p w14:paraId="125C909B">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rPr>
        <w:color w:val="000000"/>
      </w:rPr>
    </w:pPr>
  </w:p>
  <w:p w14:paraId="042433D3">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rPr>
        <w:color w:val="000000"/>
        <w:sz w:val="18"/>
        <w:szCs w:val="18"/>
      </w:rPr>
    </w:pPr>
  </w:p>
  <w:p w14:paraId="77936322">
    <w:pPr>
      <w:widowControl w:val="0"/>
      <w:autoSpaceDE w:val="0"/>
      <w:autoSpaceDN w:val="0"/>
      <w:spacing w:before="72" w:after="0" w:line="240" w:lineRule="auto"/>
      <w:ind w:left="141" w:right="0" w:firstLine="0"/>
      <w:jc w:val="left"/>
      <w:rPr>
        <w:rFonts w:ascii="Times New Roman" w:hAnsi="Times New Roman" w:eastAsia="Times New Roman" w:cs="Times New Roman"/>
        <w:sz w:val="18"/>
        <w:lang w:val="id" w:eastAsia="en-US"/>
      </w:rPr>
    </w:pPr>
    <w:r>
      <w:rPr>
        <w:rFonts w:ascii="Times New Roman" w:hAnsi="Times New Roman" w:eastAsia="Times New Roman" w:cs="Times New Roman"/>
        <w:sz w:val="18"/>
        <w:lang w:val="id" w:eastAsia="en-US"/>
      </w:rPr>
      <w:t>TALIJAGAD,</w:t>
    </w:r>
    <w:r>
      <w:rPr>
        <w:rFonts w:ascii="Times New Roman" w:hAnsi="Times New Roman" w:eastAsia="Times New Roman" w:cs="Times New Roman"/>
        <w:spacing w:val="-4"/>
        <w:sz w:val="18"/>
        <w:lang w:val="id" w:eastAsia="en-US"/>
      </w:rPr>
      <w:t xml:space="preserve"> </w:t>
    </w:r>
    <w:r>
      <w:rPr>
        <w:rFonts w:hint="default" w:ascii="Times New Roman" w:hAnsi="Times New Roman" w:eastAsia="Times New Roman" w:cs="Times New Roman"/>
        <w:color w:val="000000"/>
        <w:sz w:val="18"/>
        <w:szCs w:val="18"/>
        <w:lang w:val="sv-SE" w:eastAsia="en-US"/>
      </w:rPr>
      <w:t xml:space="preserve"> 20</w:t>
    </w:r>
    <w:r>
      <w:rPr>
        <w:rFonts w:hint="default" w:ascii="Times New Roman" w:hAnsi="Times New Roman" w:eastAsia="Times New Roman" w:cs="Times New Roman"/>
        <w:color w:val="000000"/>
        <w:sz w:val="18"/>
        <w:szCs w:val="18"/>
        <w:lang w:val="en-US" w:eastAsia="en-US"/>
      </w:rPr>
      <w:t>26</w:t>
    </w:r>
    <w:r>
      <w:rPr>
        <w:rFonts w:hint="default" w:ascii="Times New Roman" w:hAnsi="Times New Roman" w:eastAsia="Times New Roman" w:cs="Times New Roman"/>
        <w:color w:val="000000"/>
        <w:sz w:val="18"/>
        <w:szCs w:val="18"/>
        <w:lang w:val="sv-SE" w:eastAsia="en-US"/>
      </w:rPr>
      <w:t xml:space="preserve">, </w:t>
    </w:r>
    <w:r>
      <w:rPr>
        <w:rFonts w:hint="default" w:ascii="Times New Roman" w:hAnsi="Times New Roman" w:eastAsia="Times New Roman" w:cs="Times New Roman"/>
        <w:color w:val="000000"/>
        <w:sz w:val="18"/>
        <w:szCs w:val="18"/>
        <w:lang w:val="en-US" w:eastAsia="en-US"/>
      </w:rPr>
      <w:t>4</w:t>
    </w:r>
    <w:r>
      <w:rPr>
        <w:rFonts w:hint="default" w:ascii="Times New Roman" w:hAnsi="Times New Roman" w:eastAsia="Times New Roman" w:cs="Times New Roman"/>
        <w:color w:val="000000"/>
        <w:sz w:val="18"/>
        <w:szCs w:val="18"/>
        <w:lang w:val="sv-SE" w:eastAsia="en-US"/>
      </w:rPr>
      <w:t>(</w:t>
    </w:r>
    <w:r>
      <w:rPr>
        <w:rFonts w:hint="default" w:ascii="Times New Roman" w:hAnsi="Times New Roman" w:eastAsia="Times New Roman" w:cs="Times New Roman"/>
        <w:color w:val="000000"/>
        <w:sz w:val="18"/>
        <w:szCs w:val="18"/>
        <w:lang w:val="en-US" w:eastAsia="en-US"/>
      </w:rPr>
      <w:t>1</w:t>
    </w:r>
    <w:r>
      <w:rPr>
        <w:rFonts w:hint="default" w:ascii="Times New Roman" w:hAnsi="Times New Roman" w:eastAsia="Times New Roman" w:cs="Times New Roman"/>
        <w:color w:val="000000"/>
        <w:sz w:val="18"/>
        <w:szCs w:val="18"/>
        <w:lang w:val="sv-SE" w:eastAsia="en-US"/>
      </w:rPr>
      <w:t>)</w:t>
    </w:r>
  </w:p>
  <w:p w14:paraId="70CBE673">
    <w:pPr>
      <w:widowControl w:val="0"/>
      <w:autoSpaceDE w:val="0"/>
      <w:autoSpaceDN w:val="0"/>
      <w:spacing w:before="1" w:after="0" w:line="240" w:lineRule="auto"/>
      <w:ind w:left="141" w:right="0" w:firstLine="0"/>
      <w:jc w:val="left"/>
      <w:rPr>
        <w:rFonts w:ascii="Times New Roman" w:hAnsi="Times New Roman" w:eastAsia="Times New Roman" w:cs="Times New Roman"/>
        <w:sz w:val="18"/>
        <w:lang w:val="id" w:eastAsia="en-US"/>
      </w:rPr>
    </w:pPr>
    <w:r>
      <w:rPr>
        <w:rFonts w:ascii="Times New Roman" w:hAnsi="Times New Roman" w:eastAsia="Times New Roman" w:cs="Times New Roman"/>
        <w:sz w:val="18"/>
        <w:lang w:val="id" w:eastAsia="en-US"/>
      </w:rPr>
      <w:t>https://journal.unusida.ac.id/index.php/tali-jagad/index|</w:t>
    </w:r>
    <w:r>
      <w:rPr>
        <w:rFonts w:ascii="Times New Roman" w:hAnsi="Times New Roman" w:eastAsia="Times New Roman" w:cs="Times New Roman"/>
        <w:spacing w:val="-7"/>
        <w:sz w:val="18"/>
        <w:lang w:val="id" w:eastAsia="en-US"/>
      </w:rPr>
      <w:t xml:space="preserve"> </w:t>
    </w:r>
    <w:r>
      <w:rPr>
        <w:rFonts w:hint="default" w:ascii="Times New Roman" w:hAnsi="Times New Roman" w:eastAsia="Times New Roman" w:cs="Times New Roman"/>
        <w:color w:val="000000"/>
        <w:sz w:val="18"/>
        <w:szCs w:val="18"/>
        <w:lang w:val="sv-SE" w:eastAsia="en-US"/>
      </w:rPr>
      <w:t>e-ISSN :</w:t>
    </w:r>
    <w:r>
      <w:rPr>
        <w:rFonts w:hint="default" w:ascii="Times New Roman" w:hAnsi="Times New Roman" w:eastAsia="Times New Roman" w:cs="Times New Roman"/>
        <w:color w:val="000000"/>
        <w:sz w:val="18"/>
        <w:szCs w:val="18"/>
        <w:lang w:val="en-US" w:eastAsia="en-US"/>
      </w:rPr>
      <w:t xml:space="preserve"> 2988 2192</w:t>
    </w:r>
  </w:p>
  <w:p w14:paraId="5D2CCD8E">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rPr>
        <w:color w:val="000000"/>
      </w:rPr>
    </w:pPr>
    <w:r>
      <w:rPr>
        <w:color w:val="000000"/>
        <w:sz w:val="18"/>
        <w:szCs w:val="18"/>
      </w:rPr>
      <w:t>____________________________________________________________________________________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3D65C76"/>
    <w:multiLevelType w:val="multilevel"/>
    <w:tmpl w:val="63D65C76"/>
    <w:lvl w:ilvl="0" w:tentative="0">
      <w:start w:val="1"/>
      <w:numFmt w:val="decimal"/>
      <w:lvlText w:val="%1.  "/>
      <w:lvlJc w:val="left"/>
      <w:pPr>
        <w:ind w:left="0" w:firstLine="0"/>
      </w:pPr>
    </w:lvl>
    <w:lvl w:ilvl="1" w:tentative="0">
      <w:start w:val="1"/>
      <w:numFmt w:val="decimal"/>
      <w:lvlText w:val="%1.%2.  "/>
      <w:lvlJc w:val="left"/>
      <w:pPr>
        <w:ind w:left="568" w:firstLine="0"/>
      </w:pPr>
    </w:lvl>
    <w:lvl w:ilvl="2" w:tentative="0">
      <w:start w:val="1"/>
      <w:numFmt w:val="decimal"/>
      <w:lvlText w:val="%1.%2.%3.  "/>
      <w:lvlJc w:val="left"/>
      <w:pPr>
        <w:ind w:left="0" w:firstLine="142"/>
      </w:pPr>
      <w:rPr>
        <w:i/>
        <w:iCs/>
      </w:rPr>
    </w:lvl>
    <w:lvl w:ilvl="3" w:tentative="0">
      <w:start w:val="1"/>
      <w:numFmt w:val="decimal"/>
      <w:lvlText w:val="%1.%2.%3.%4"/>
      <w:lvlJc w:val="left"/>
      <w:pPr>
        <w:ind w:left="864" w:hanging="864"/>
      </w:pPr>
    </w:lvl>
    <w:lvl w:ilvl="4" w:tentative="0">
      <w:start w:val="1"/>
      <w:numFmt w:val="decimal"/>
      <w:lvlText w:val="%1.%2.%3.%4.%5"/>
      <w:lvlJc w:val="left"/>
      <w:pPr>
        <w:ind w:left="1008" w:hanging="1008"/>
      </w:p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6"/>
  <w:embedTrueTypeFonts/>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1E6"/>
    <w:rsid w:val="003720C7"/>
    <w:rsid w:val="003A4BEC"/>
    <w:rsid w:val="004D71E6"/>
    <w:rsid w:val="0057081C"/>
    <w:rsid w:val="0075034C"/>
    <w:rsid w:val="007F7B0D"/>
    <w:rsid w:val="008D53E3"/>
    <w:rsid w:val="008E4337"/>
    <w:rsid w:val="00A52059"/>
    <w:rsid w:val="00AB4C5C"/>
    <w:rsid w:val="00B70402"/>
    <w:rsid w:val="00BD66A0"/>
    <w:rsid w:val="00E05D99"/>
    <w:rsid w:val="09CE76E0"/>
    <w:rsid w:val="09D633B1"/>
    <w:rsid w:val="0C02649A"/>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w:hAnsi="Times" w:eastAsia="Times" w:cs="Times"/>
      <w:sz w:val="22"/>
      <w:szCs w:val="22"/>
      <w:lang w:val="en-GB" w:eastAsia="zh-CN" w:bidi="ar-SA"/>
    </w:rPr>
  </w:style>
  <w:style w:type="paragraph" w:styleId="2">
    <w:name w:val="heading 1"/>
    <w:basedOn w:val="1"/>
    <w:next w:val="1"/>
    <w:qFormat/>
    <w:uiPriority w:val="9"/>
    <w:pPr>
      <w:keepNext/>
      <w:widowControl w:val="0"/>
      <w:jc w:val="both"/>
      <w:outlineLvl w:val="0"/>
    </w:pPr>
    <w:rPr>
      <w:rFonts w:ascii="Times New Roman" w:hAnsi="Times New Roman" w:eastAsia="Times New Roman" w:cs="Times New Roman"/>
      <w:b/>
      <w:bCs/>
      <w:sz w:val="24"/>
      <w:szCs w:val="24"/>
    </w:rPr>
  </w:style>
  <w:style w:type="paragraph" w:styleId="3">
    <w:name w:val="heading 2"/>
    <w:basedOn w:val="1"/>
    <w:next w:val="1"/>
    <w:semiHidden/>
    <w:unhideWhenUsed/>
    <w:qFormat/>
    <w:uiPriority w:val="9"/>
    <w:pPr>
      <w:pBdr>
        <w:top w:val="none" w:color="auto" w:sz="0" w:space="0"/>
        <w:left w:val="none" w:color="auto" w:sz="0" w:space="0"/>
        <w:bottom w:val="none" w:color="auto" w:sz="0" w:space="0"/>
        <w:right w:val="none" w:color="auto" w:sz="0" w:space="0"/>
        <w:between w:val="none" w:color="auto" w:sz="0" w:space="0"/>
      </w:pBdr>
      <w:spacing w:before="240"/>
      <w:ind w:firstLine="568"/>
      <w:outlineLvl w:val="1"/>
    </w:pPr>
    <w:rPr>
      <w:i/>
      <w:iCs/>
      <w:color w:val="000000"/>
    </w:rPr>
  </w:style>
  <w:style w:type="paragraph" w:styleId="4">
    <w:name w:val="heading 3"/>
    <w:basedOn w:val="1"/>
    <w:next w:val="1"/>
    <w:semiHidden/>
    <w:unhideWhenUsed/>
    <w:qFormat/>
    <w:uiPriority w:val="9"/>
    <w:pPr>
      <w:keepNext/>
      <w:spacing w:before="240" w:after="60"/>
      <w:ind w:left="720" w:hanging="432"/>
      <w:outlineLvl w:val="2"/>
    </w:pPr>
    <w:rPr>
      <w:rFonts w:ascii="Arial" w:hAnsi="Arial" w:eastAsia="Arial" w:cs="Arial"/>
      <w:b/>
      <w:bCs/>
      <w:sz w:val="26"/>
      <w:szCs w:val="26"/>
    </w:rPr>
  </w:style>
  <w:style w:type="paragraph" w:styleId="5">
    <w:name w:val="heading 4"/>
    <w:basedOn w:val="1"/>
    <w:next w:val="1"/>
    <w:semiHidden/>
    <w:unhideWhenUsed/>
    <w:qFormat/>
    <w:uiPriority w:val="9"/>
    <w:pPr>
      <w:keepNext/>
      <w:spacing w:before="240" w:after="60"/>
      <w:ind w:left="864" w:hanging="144"/>
      <w:outlineLvl w:val="3"/>
    </w:pPr>
    <w:rPr>
      <w:rFonts w:ascii="Times New Roman" w:hAnsi="Times New Roman" w:eastAsia="Times New Roman" w:cs="Times New Roman"/>
      <w:b/>
      <w:bCs/>
      <w:sz w:val="28"/>
      <w:szCs w:val="28"/>
    </w:rPr>
  </w:style>
  <w:style w:type="paragraph" w:styleId="6">
    <w:name w:val="heading 5"/>
    <w:basedOn w:val="1"/>
    <w:next w:val="1"/>
    <w:semiHidden/>
    <w:unhideWhenUsed/>
    <w:qFormat/>
    <w:uiPriority w:val="9"/>
    <w:pPr>
      <w:spacing w:before="240" w:after="60"/>
      <w:ind w:left="1008" w:hanging="432"/>
      <w:outlineLvl w:val="4"/>
    </w:pPr>
    <w:rPr>
      <w:b/>
      <w:bCs/>
      <w:i/>
      <w:iCs/>
      <w:sz w:val="26"/>
      <w:szCs w:val="26"/>
    </w:rPr>
  </w:style>
  <w:style w:type="paragraph" w:styleId="7">
    <w:name w:val="heading 6"/>
    <w:basedOn w:val="1"/>
    <w:next w:val="1"/>
    <w:semiHidden/>
    <w:unhideWhenUsed/>
    <w:qFormat/>
    <w:uiPriority w:val="9"/>
    <w:pPr>
      <w:spacing w:before="240" w:after="60"/>
      <w:ind w:left="1152" w:hanging="432"/>
      <w:outlineLvl w:val="5"/>
    </w:pPr>
    <w:rPr>
      <w:rFonts w:ascii="Times New Roman" w:hAnsi="Times New Roman" w:eastAsia="Times New Roman" w:cs="Times New Roman"/>
      <w:b/>
      <w:bCs/>
    </w:rPr>
  </w:style>
  <w:style w:type="character" w:default="1" w:styleId="8">
    <w:name w:val="Default Paragraph Font"/>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10">
    <w:name w:val="footer"/>
    <w:basedOn w:val="1"/>
    <w:semiHidden/>
    <w:unhideWhenUsed/>
    <w:qFormat/>
    <w:uiPriority w:val="99"/>
    <w:pPr>
      <w:tabs>
        <w:tab w:val="center" w:pos="4153"/>
        <w:tab w:val="right" w:pos="8306"/>
      </w:tabs>
      <w:snapToGrid w:val="0"/>
      <w:jc w:val="left"/>
    </w:pPr>
    <w:rPr>
      <w:sz w:val="18"/>
      <w:szCs w:val="18"/>
    </w:rPr>
  </w:style>
  <w:style w:type="paragraph" w:styleId="11">
    <w:name w:val="header"/>
    <w:basedOn w:val="1"/>
    <w:semiHidden/>
    <w:unhideWhenUsed/>
    <w:qFormat/>
    <w:uiPriority w:val="99"/>
    <w:pPr>
      <w:tabs>
        <w:tab w:val="center" w:pos="4153"/>
        <w:tab w:val="right" w:pos="8306"/>
      </w:tabs>
      <w:snapToGrid w:val="0"/>
    </w:pPr>
    <w:rPr>
      <w:sz w:val="18"/>
      <w:szCs w:val="18"/>
    </w:rPr>
  </w:style>
  <w:style w:type="character" w:styleId="12">
    <w:name w:val="Hyperlink"/>
    <w:basedOn w:val="8"/>
    <w:semiHidden/>
    <w:unhideWhenUsed/>
    <w:uiPriority w:val="99"/>
    <w:rPr>
      <w:color w:val="0000FF"/>
      <w:u w:val="single"/>
    </w:rPr>
  </w:style>
  <w:style w:type="paragraph" w:styleId="13">
    <w:name w:val="Normal (Web)"/>
    <w:basedOn w:val="1"/>
    <w:unhideWhenUsed/>
    <w:qFormat/>
    <w:uiPriority w:val="99"/>
    <w:pPr>
      <w:spacing w:before="100" w:beforeAutospacing="1" w:after="100" w:afterAutospacing="1"/>
    </w:pPr>
    <w:rPr>
      <w:rFonts w:ascii="Times New Roman" w:hAnsi="Times New Roman" w:eastAsia="Times New Roman" w:cs="Times New Roman"/>
      <w:sz w:val="24"/>
      <w:szCs w:val="24"/>
      <w:lang w:val="zh-CN"/>
    </w:rPr>
  </w:style>
  <w:style w:type="paragraph" w:styleId="14">
    <w:name w:val="Subtitle"/>
    <w:basedOn w:val="1"/>
    <w:next w:val="1"/>
    <w:qFormat/>
    <w:uiPriority w:val="11"/>
    <w:pPr>
      <w:keepNext/>
      <w:keepLines/>
      <w:spacing w:before="360" w:after="80"/>
    </w:pPr>
    <w:rPr>
      <w:rFonts w:ascii="Georgia" w:hAnsi="Georgia" w:eastAsia="Georgia" w:cs="Georgia"/>
      <w:i/>
      <w:iCs/>
      <w:color w:val="666666"/>
      <w:sz w:val="48"/>
      <w:szCs w:val="48"/>
    </w:rPr>
  </w:style>
  <w:style w:type="table" w:styleId="15">
    <w:name w:val="Table Grid"/>
    <w:basedOn w:val="9"/>
    <w:qFormat/>
    <w:uiPriority w:val="59"/>
    <w:rPr>
      <w:rFonts w:asciiTheme="minorHAnsi" w:hAnsiTheme="minorHAnsi" w:eastAsiaTheme="minorHAnsi" w:cstheme="minorBidi"/>
      <w:lang w:val="id-ID" w:eastAsia="en-US"/>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16">
    <w:name w:val="Title"/>
    <w:basedOn w:val="1"/>
    <w:next w:val="1"/>
    <w:qFormat/>
    <w:uiPriority w:val="10"/>
    <w:pPr>
      <w:spacing w:before="1588" w:after="567"/>
    </w:pPr>
    <w:rPr>
      <w:b/>
      <w:bCs/>
      <w:sz w:val="34"/>
      <w:szCs w:val="34"/>
    </w:rPr>
  </w:style>
  <w:style w:type="table" w:customStyle="1" w:styleId="17">
    <w:name w:val="TableNormal"/>
    <w:qFormat/>
    <w:uiPriority w:val="0"/>
    <w:tblPr>
      <w:tblCellMar>
        <w:top w:w="100" w:type="dxa"/>
        <w:left w:w="100" w:type="dxa"/>
        <w:bottom w:w="100" w:type="dxa"/>
        <w:right w:w="100" w:type="dxa"/>
      </w:tblCellMar>
    </w:tblPr>
  </w:style>
  <w:style w:type="table" w:customStyle="1" w:styleId="18">
    <w:name w:val="_Style 12"/>
    <w:basedOn w:val="17"/>
    <w:qFormat/>
    <w:uiPriority w:val="0"/>
    <w:tblPr>
      <w:tblCellMar>
        <w:top w:w="0" w:type="dxa"/>
        <w:left w:w="108" w:type="dxa"/>
        <w:bottom w:w="0" w:type="dxa"/>
        <w:right w:w="108" w:type="dxa"/>
      </w:tblCellMar>
    </w:tblPr>
  </w:style>
  <w:style w:type="table" w:customStyle="1" w:styleId="19">
    <w:name w:val="_Style 13"/>
    <w:basedOn w:val="17"/>
    <w:qFormat/>
    <w:uiPriority w:val="0"/>
    <w:tblPr>
      <w:tblCellMar>
        <w:top w:w="0" w:type="dxa"/>
        <w:left w:w="0" w:type="dxa"/>
        <w:bottom w:w="0" w:type="dxa"/>
        <w:right w:w="0" w:type="dxa"/>
      </w:tblCellMar>
    </w:tblPr>
  </w:style>
  <w:style w:type="paragraph" w:styleId="20">
    <w:name w:val="List Paragraph"/>
    <w:basedOn w:val="1"/>
    <w:qFormat/>
    <w:uiPriority w:val="34"/>
    <w:pPr>
      <w:ind w:left="720"/>
      <w:contextualSpacing/>
    </w:pPr>
  </w:style>
  <w:style w:type="character" w:customStyle="1" w:styleId="21">
    <w:name w:val="math-inline"/>
    <w:basedOn w:val="8"/>
    <w:qFormat/>
    <w:uiPriority w:val="0"/>
  </w:style>
  <w:style w:type="character" w:styleId="22">
    <w:name w:val="Placeholder Text"/>
    <w:basedOn w:val="8"/>
    <w:semiHidden/>
    <w:qFormat/>
    <w:uiPriority w:val="99"/>
    <w:rPr>
      <w:color w:val="666666"/>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2688</Words>
  <Characters>18227</Characters>
  <Lines>149</Lines>
  <Paragraphs>42</Paragraphs>
  <TotalTime>14</TotalTime>
  <ScaleCrop>false</ScaleCrop>
  <LinksUpToDate>false</LinksUpToDate>
  <CharactersWithSpaces>20841</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2026-01-08T04:34:00Z</dcterms:created>
  <dc:creator>ARZA RAMADHANA R ACH</dc:creator>
  <cp:lastModifiedBy>Afifatus Sholikhah</cp:lastModifiedBy>
  <dcterms:modified xsi:type="dcterms:W3CDTF">2026-06-02T03:48:25Z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58044a8c-a572-4d23-abb6-77af19b64cd6</vt:lpwstr>
  </property>
  <property fmtid="{D5CDD505-2E9C-101B-9397-08002B2CF9AE}" pid="3" name="KSOTemplateDocerSaveRecord">
    <vt:lpwstr>eyJoZGlkIjoiYmM2MzI2MjAxYmYzZjc3MDJiNjRmM2Y1YThiN2ZhNDMiLCJ1c2VySWQiOiI4ODEzNzcxNDMyNjAxIn0=</vt:lpwstr>
  </property>
  <property fmtid="{D5CDD505-2E9C-101B-9397-08002B2CF9AE}" pid="4" name="KSOProductBuildVer">
    <vt:lpwstr>1033-12.1.0.26880</vt:lpwstr>
  </property>
  <property fmtid="{D5CDD505-2E9C-101B-9397-08002B2CF9AE}" pid="5" name="ICV">
    <vt:lpwstr>0A0251A9420148979A8B4E146A41BFD9_13</vt:lpwstr>
  </property>
</Properties>
</file>