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70A70">
      <w:pPr>
        <w:jc w:val="both"/>
        <w:rPr>
          <w:rFonts w:ascii="Times New Roman" w:hAnsi="Times New Roman" w:cs="Times New Roman"/>
          <w:b/>
          <w:bCs/>
          <w:sz w:val="34"/>
          <w:szCs w:val="34"/>
        </w:rPr>
      </w:pPr>
      <w:r>
        <w:rPr>
          <w:rFonts w:ascii="Times New Roman" w:hAnsi="Times New Roman" w:cs="Times New Roman"/>
          <w:b/>
          <w:bCs/>
          <w:sz w:val="34"/>
          <w:szCs w:val="34"/>
        </w:rPr>
        <w:t>Analisis Laporan Keuangan: Rasio Pasar, Rasio Profitabilitas, Rasio Manajemen Utang</w:t>
      </w:r>
    </w:p>
    <w:p w14:paraId="6B77D427">
      <w:pPr>
        <w:jc w:val="both"/>
        <w:rPr>
          <w:rFonts w:ascii="Times New Roman" w:hAnsi="Times New Roman" w:cs="Times New Roman"/>
          <w:i/>
          <w:iCs/>
          <w:sz w:val="34"/>
          <w:szCs w:val="34"/>
        </w:rPr>
      </w:pPr>
      <w:r>
        <w:rPr>
          <w:rFonts w:ascii="Times New Roman" w:hAnsi="Times New Roman" w:cs="Times New Roman"/>
          <w:i/>
          <w:iCs/>
          <w:sz w:val="34"/>
          <w:szCs w:val="34"/>
        </w:rPr>
        <w:t>Financial Statement Analysis: Market Ratios, Profitability Ratios, Dept Management Ratios.</w:t>
      </w:r>
    </w:p>
    <w:p w14:paraId="06287061">
      <w:pPr>
        <w:jc w:val="both"/>
        <w:rPr>
          <w:rFonts w:ascii="Times New Roman" w:hAnsi="Times New Roman" w:cs="Times New Roman"/>
          <w:sz w:val="34"/>
          <w:szCs w:val="34"/>
        </w:rPr>
      </w:pPr>
    </w:p>
    <w:p w14:paraId="1535E521">
      <w:pPr>
        <w:jc w:val="both"/>
        <w:rPr>
          <w:rFonts w:ascii="Times New Roman" w:hAnsi="Times New Roman" w:cs="Times New Roman"/>
          <w:b/>
          <w:bCs/>
          <w:sz w:val="20"/>
          <w:szCs w:val="20"/>
        </w:rPr>
      </w:pPr>
      <w:r>
        <w:rPr>
          <w:rFonts w:ascii="Times New Roman" w:hAnsi="Times New Roman" w:cs="Times New Roman"/>
          <w:b/>
          <w:bCs/>
          <w:sz w:val="20"/>
          <w:szCs w:val="20"/>
        </w:rPr>
        <w:t>Dinda Nur Fauziyah</w:t>
      </w:r>
      <w:r>
        <w:rPr>
          <w:rFonts w:ascii="Times New Roman" w:hAnsi="Times New Roman" w:cs="Times New Roman"/>
          <w:b/>
          <w:bCs/>
          <w:sz w:val="20"/>
          <w:szCs w:val="20"/>
          <w:vertAlign w:val="superscript"/>
        </w:rPr>
        <w:t>1</w:t>
      </w:r>
      <w:r>
        <w:rPr>
          <w:rFonts w:ascii="Times New Roman" w:hAnsi="Times New Roman" w:cs="Times New Roman"/>
          <w:b/>
          <w:bCs/>
          <w:sz w:val="20"/>
          <w:szCs w:val="20"/>
        </w:rPr>
        <w:t>, Tika Anjani</w:t>
      </w:r>
      <w:r>
        <w:rPr>
          <w:rFonts w:ascii="Times New Roman" w:hAnsi="Times New Roman" w:cs="Times New Roman"/>
          <w:b/>
          <w:bCs/>
          <w:sz w:val="20"/>
          <w:szCs w:val="20"/>
          <w:vertAlign w:val="superscript"/>
        </w:rPr>
        <w:t>2</w:t>
      </w:r>
      <w:r>
        <w:rPr>
          <w:rFonts w:ascii="Times New Roman" w:hAnsi="Times New Roman" w:cs="Times New Roman"/>
          <w:b/>
          <w:bCs/>
          <w:sz w:val="20"/>
          <w:szCs w:val="20"/>
        </w:rPr>
        <w:t>, Alfinda Myla</w:t>
      </w:r>
      <w:r>
        <w:rPr>
          <w:rFonts w:ascii="Times New Roman" w:hAnsi="Times New Roman" w:cs="Times New Roman"/>
          <w:b/>
          <w:bCs/>
          <w:sz w:val="20"/>
          <w:szCs w:val="20"/>
          <w:vertAlign w:val="superscript"/>
        </w:rPr>
        <w:t>3</w:t>
      </w:r>
      <w:r>
        <w:rPr>
          <w:rFonts w:ascii="Times New Roman" w:hAnsi="Times New Roman" w:cs="Times New Roman"/>
          <w:b/>
          <w:bCs/>
          <w:sz w:val="20"/>
          <w:szCs w:val="20"/>
        </w:rPr>
        <w:t>, Adiftia Maulana</w:t>
      </w:r>
      <w:r>
        <w:rPr>
          <w:rFonts w:ascii="Times New Roman" w:hAnsi="Times New Roman" w:cs="Times New Roman"/>
          <w:b/>
          <w:bCs/>
          <w:sz w:val="20"/>
          <w:szCs w:val="20"/>
          <w:vertAlign w:val="superscript"/>
        </w:rPr>
        <w:t>4</w:t>
      </w:r>
      <w:r>
        <w:rPr>
          <w:rFonts w:ascii="Times New Roman" w:hAnsi="Times New Roman" w:cs="Times New Roman"/>
          <w:b/>
          <w:bCs/>
          <w:sz w:val="20"/>
          <w:szCs w:val="20"/>
        </w:rPr>
        <w:t>, Renata Aridika Putri</w:t>
      </w:r>
      <w:r>
        <w:rPr>
          <w:rFonts w:ascii="Times New Roman" w:hAnsi="Times New Roman" w:cs="Times New Roman"/>
          <w:b/>
          <w:bCs/>
          <w:sz w:val="20"/>
          <w:szCs w:val="20"/>
          <w:vertAlign w:val="superscript"/>
        </w:rPr>
        <w:t xml:space="preserve">. </w:t>
      </w:r>
      <w:r>
        <w:rPr>
          <w:rFonts w:ascii="Times New Roman" w:hAnsi="Times New Roman" w:cs="Times New Roman"/>
          <w:b/>
          <w:bCs/>
          <w:sz w:val="20"/>
          <w:szCs w:val="20"/>
        </w:rPr>
        <w:t>S</w:t>
      </w:r>
      <w:r>
        <w:rPr>
          <w:rFonts w:ascii="Times New Roman" w:hAnsi="Times New Roman" w:cs="Times New Roman"/>
          <w:b/>
          <w:bCs/>
          <w:sz w:val="20"/>
          <w:szCs w:val="20"/>
          <w:vertAlign w:val="superscript"/>
        </w:rPr>
        <w:t>5</w:t>
      </w:r>
      <w:r>
        <w:rPr>
          <w:rFonts w:ascii="Times New Roman" w:hAnsi="Times New Roman" w:cs="Times New Roman"/>
          <w:b/>
          <w:bCs/>
          <w:sz w:val="20"/>
          <w:szCs w:val="20"/>
        </w:rPr>
        <w:t>, Winda Rahmawati</w:t>
      </w:r>
      <w:r>
        <w:rPr>
          <w:rFonts w:ascii="Times New Roman" w:hAnsi="Times New Roman" w:cs="Times New Roman"/>
          <w:b/>
          <w:bCs/>
          <w:sz w:val="20"/>
          <w:szCs w:val="20"/>
          <w:vertAlign w:val="superscript"/>
        </w:rPr>
        <w:t>6</w:t>
      </w:r>
      <w:r>
        <w:rPr>
          <w:rFonts w:ascii="Times New Roman" w:hAnsi="Times New Roman" w:cs="Times New Roman"/>
          <w:b/>
          <w:bCs/>
          <w:sz w:val="20"/>
          <w:szCs w:val="20"/>
        </w:rPr>
        <w:t>.</w:t>
      </w:r>
    </w:p>
    <w:p w14:paraId="3F5865C8">
      <w:pPr>
        <w:spacing w:after="20"/>
        <w:rPr>
          <w:rFonts w:ascii="Times New Roman" w:hAnsi="Times New Roman" w:cs="Times New Roman"/>
          <w:sz w:val="20"/>
          <w:szCs w:val="20"/>
          <w:lang w:eastAsia="zh-CN"/>
        </w:rPr>
      </w:pPr>
      <w:r>
        <w:rPr>
          <w:rFonts w:ascii="Times New Roman" w:hAnsi="Times New Roman" w:cs="Times New Roman"/>
          <w:sz w:val="20"/>
          <w:szCs w:val="20"/>
          <w:vertAlign w:val="superscript"/>
          <w:lang w:eastAsia="zh-CN"/>
        </w:rPr>
        <w:t>1</w:t>
      </w:r>
      <w:r>
        <w:rPr>
          <w:rFonts w:hint="default" w:ascii="Times New Roman" w:hAnsi="Times New Roman" w:cs="Times New Roman"/>
          <w:sz w:val="20"/>
          <w:szCs w:val="20"/>
          <w:vertAlign w:val="superscript"/>
          <w:lang w:val="en-US" w:eastAsia="zh-CN"/>
        </w:rPr>
        <w:t>23456</w:t>
      </w:r>
      <w:r>
        <w:rPr>
          <w:rFonts w:ascii="Times New Roman" w:hAnsi="Times New Roman" w:cs="Times New Roman"/>
          <w:sz w:val="20"/>
          <w:szCs w:val="20"/>
          <w:lang w:eastAsia="zh-CN"/>
        </w:rPr>
        <w:t>Prodi Manajemen, Fakultas Ekonomi, Universitas Nahdlatul Ulama, Sidoarjo 61218, Indonesia</w:t>
      </w:r>
    </w:p>
    <w:p w14:paraId="04F5EB11">
      <w:pPr>
        <w:pBdr>
          <w:bottom w:val="double" w:color="auto" w:sz="6" w:space="1"/>
        </w:pBdr>
        <w:spacing w:after="20"/>
        <w:rPr>
          <w:rFonts w:ascii="Times New Roman" w:hAnsi="Times New Roman" w:cs="Times New Roman"/>
          <w:sz w:val="20"/>
          <w:szCs w:val="20"/>
          <w:lang w:eastAsia="zh-CN"/>
        </w:rPr>
      </w:pPr>
    </w:p>
    <w:p w14:paraId="7E630135">
      <w:pPr>
        <w:spacing w:line="240" w:lineRule="auto"/>
        <w:jc w:val="both"/>
        <w:rPr>
          <w:rFonts w:ascii="Times New Roman" w:hAnsi="Times New Roman" w:cs="Times New Roman"/>
        </w:rPr>
        <w:sectPr>
          <w:headerReference r:id="rId5" w:type="default"/>
          <w:footerReference r:id="rId6" w:type="default"/>
          <w:pgSz w:w="11906" w:h="16838"/>
          <w:pgMar w:top="1440" w:right="1080" w:bottom="1440" w:left="1080" w:header="708" w:footer="708" w:gutter="0"/>
          <w:pgNumType w:fmt="decimal" w:start="43"/>
          <w:cols w:space="708" w:num="1"/>
          <w:docGrid w:linePitch="360" w:charSpace="0"/>
        </w:sectPr>
      </w:pPr>
    </w:p>
    <w:p w14:paraId="46CEC357">
      <w:pPr>
        <w:spacing w:line="240" w:lineRule="auto"/>
        <w:jc w:val="both"/>
        <w:rPr>
          <w:rFonts w:hint="default" w:ascii="Times New Roman" w:hAnsi="Times New Roman" w:cs="Times New Roman"/>
          <w:lang w:val="en-US"/>
        </w:rPr>
      </w:pPr>
      <w:r>
        <w:rPr>
          <w:rFonts w:ascii="Times New Roman" w:hAnsi="Times New Roman" w:cs="Times New Roman"/>
        </w:rPr>
        <w:t xml:space="preserve">DOI: </w:t>
      </w:r>
      <w:r>
        <w:rPr>
          <w:rFonts w:hint="default" w:ascii="Times New Roman" w:hAnsi="Times New Roman" w:cs="Times New Roman"/>
        </w:rPr>
        <w:t>10.55732/UNU.TJJ.2026.04.01.</w:t>
      </w:r>
      <w:r>
        <w:rPr>
          <w:rFonts w:hint="default" w:ascii="Times New Roman" w:hAnsi="Times New Roman" w:cs="Times New Roman"/>
          <w:lang w:val="en-US"/>
        </w:rPr>
        <w:t>6</w:t>
      </w:r>
    </w:p>
    <w:p w14:paraId="284B8665">
      <w:pPr>
        <w:spacing w:line="240" w:lineRule="auto"/>
        <w:jc w:val="both"/>
        <w:rPr>
          <w:rFonts w:ascii="Times New Roman" w:hAnsi="Times New Roman" w:cs="Times New Roman"/>
        </w:rPr>
      </w:pPr>
      <w:r>
        <w:rPr>
          <w:rFonts w:ascii="Times New Roman" w:hAnsi="Times New Roman" w:cs="Times New Roman"/>
        </w:rPr>
        <w:t>Kata Kunci: analisis laporan keuangan, rasio profitabilitas, rasio pasar, rasio manajemen utang</w:t>
      </w:r>
    </w:p>
    <w:p w14:paraId="26C31526">
      <w:pPr>
        <w:spacing w:line="240" w:lineRule="auto"/>
        <w:jc w:val="both"/>
        <w:rPr>
          <w:rFonts w:ascii="Times New Roman" w:hAnsi="Times New Roman" w:cs="Times New Roman"/>
        </w:rPr>
      </w:pPr>
      <w:r>
        <w:rPr>
          <w:rFonts w:ascii="Times New Roman" w:hAnsi="Times New Roman" w:cs="Times New Roman"/>
        </w:rPr>
        <w:t>Keyward: financial statement analysis, profitability ratios, market ratios, debt management ratios</w:t>
      </w:r>
    </w:p>
    <w:p w14:paraId="46A9F3F5">
      <w:pPr>
        <w:spacing w:line="240" w:lineRule="auto"/>
        <w:jc w:val="both"/>
        <w:rPr>
          <w:rFonts w:ascii="Times New Roman" w:hAnsi="Times New Roman" w:cs="Times New Roman"/>
          <w:b/>
          <w:bCs/>
        </w:rPr>
      </w:pPr>
      <w:r>
        <w:rPr>
          <w:rFonts w:ascii="Times New Roman" w:hAnsi="Times New Roman" w:cs="Times New Roman"/>
          <w:b/>
          <w:bCs/>
        </w:rPr>
        <w:t>Article History:</w:t>
      </w:r>
    </w:p>
    <w:p w14:paraId="292677CB">
      <w:pPr>
        <w:spacing w:line="240" w:lineRule="auto"/>
        <w:jc w:val="both"/>
        <w:rPr>
          <w:rFonts w:hint="default" w:ascii="Times New Roman" w:hAnsi="Times New Roman" w:cs="Times New Roman"/>
          <w:lang w:val="en-US"/>
        </w:rPr>
      </w:pPr>
      <w:r>
        <w:rPr>
          <w:rFonts w:ascii="Times New Roman" w:hAnsi="Times New Roman" w:cs="Times New Roman"/>
        </w:rPr>
        <w:t xml:space="preserve">Received: </w:t>
      </w:r>
      <w:r>
        <w:rPr>
          <w:rFonts w:hint="default" w:ascii="Times New Roman" w:hAnsi="Times New Roman" w:cs="Times New Roman"/>
          <w:lang w:val="en-US"/>
        </w:rPr>
        <w:t>06-05-2025</w:t>
      </w:r>
    </w:p>
    <w:p w14:paraId="4792AF2A">
      <w:pPr>
        <w:spacing w:line="240" w:lineRule="auto"/>
        <w:jc w:val="both"/>
        <w:rPr>
          <w:rFonts w:hint="default" w:ascii="Times New Roman" w:hAnsi="Times New Roman" w:cs="Times New Roman"/>
          <w:lang w:val="en-US"/>
        </w:rPr>
      </w:pPr>
      <w:r>
        <w:rPr>
          <w:rFonts w:ascii="Times New Roman" w:hAnsi="Times New Roman" w:cs="Times New Roman"/>
        </w:rPr>
        <w:t xml:space="preserve">Accepted: </w:t>
      </w:r>
      <w:r>
        <w:rPr>
          <w:rFonts w:hint="default" w:ascii="Times New Roman" w:hAnsi="Times New Roman" w:cs="Times New Roman"/>
          <w:lang w:val="en-US"/>
        </w:rPr>
        <w:t>29-05-2026</w:t>
      </w:r>
    </w:p>
    <w:p w14:paraId="3D417ED8">
      <w:pPr>
        <w:spacing w:line="240" w:lineRule="auto"/>
        <w:jc w:val="both"/>
        <w:rPr>
          <w:rFonts w:ascii="Times New Roman" w:hAnsi="Times New Roman" w:cs="Times New Roman"/>
        </w:rPr>
      </w:pPr>
      <w:r>
        <w:rPr>
          <w:rFonts w:ascii="Times New Roman" w:hAnsi="Times New Roman" w:cs="Times New Roman"/>
        </w:rPr>
        <w:t>*)Koresponden Email:</w:t>
      </w:r>
    </w:p>
    <w:p w14:paraId="7E9A60FC">
      <w:pPr>
        <w:spacing w:line="240" w:lineRule="auto"/>
        <w:jc w:val="both"/>
        <w:rPr>
          <w:rFonts w:ascii="Times New Roman" w:hAnsi="Times New Roman" w:cs="Times New Roman"/>
          <w:color w:val="4472C4" w:themeColor="accent1"/>
          <w:u w:val="single" w:color="4472C4" w:themeColor="accent1"/>
          <w14:textFill>
            <w14:solidFill>
              <w14:schemeClr w14:val="accent1"/>
            </w14:solidFill>
          </w14:textFill>
        </w:rPr>
      </w:pPr>
      <w:r>
        <w:fldChar w:fldCharType="begin"/>
      </w:r>
      <w:r>
        <w:instrText xml:space="preserve"> HYPERLINK "mailto:dindanf03@gmail.com" </w:instrText>
      </w:r>
      <w:r>
        <w:fldChar w:fldCharType="separate"/>
      </w:r>
      <w:r>
        <w:rPr>
          <w:rStyle w:val="15"/>
          <w:rFonts w:ascii="Times New Roman" w:hAnsi="Times New Roman" w:cs="Times New Roman"/>
        </w:rPr>
        <w:t>dindanf03@gmail.com</w:t>
      </w:r>
      <w:r>
        <w:rPr>
          <w:rStyle w:val="15"/>
          <w:rFonts w:ascii="Times New Roman" w:hAnsi="Times New Roman" w:cs="Times New Roman"/>
        </w:rPr>
        <w:fldChar w:fldCharType="end"/>
      </w:r>
    </w:p>
    <w:p w14:paraId="42187278">
      <w:pPr>
        <w:spacing w:line="240" w:lineRule="auto"/>
        <w:jc w:val="both"/>
        <w:rPr>
          <w:rFonts w:hint="default" w:ascii="Times New Roman" w:hAnsi="Times New Roman" w:cs="Times New Roman"/>
          <w:lang w:val="en-US"/>
        </w:rPr>
      </w:pPr>
      <w:r>
        <w:rPr>
          <w:rFonts w:ascii="Times New Roman" w:hAnsi="Times New Roman" w:cs="Times New Roman"/>
        </w:rPr>
        <w:t>(c) 20</w:t>
      </w:r>
      <w:r>
        <w:rPr>
          <w:rFonts w:hint="default" w:ascii="Times New Roman" w:hAnsi="Times New Roman" w:cs="Times New Roman"/>
          <w:lang w:val="en-US"/>
        </w:rPr>
        <w:t>26 Dinda</w:t>
      </w:r>
    </w:p>
    <w:p w14:paraId="45C2774B">
      <w:pPr>
        <w:spacing w:line="240" w:lineRule="auto"/>
        <w:jc w:val="both"/>
        <w:rPr>
          <w:rFonts w:ascii="Times New Roman" w:hAnsi="Times New Roman" w:cs="Times New Roman"/>
          <w:b/>
          <w:bCs/>
        </w:rPr>
      </w:pPr>
      <w:r>
        <w:rPr>
          <w:rFonts w:ascii="Times New Roman" w:hAnsi="Times New Roman" w:cs="Times New Roman"/>
          <w:b/>
          <w:bCs/>
        </w:rPr>
        <w:t>Abstrak</w:t>
      </w:r>
    </w:p>
    <w:p w14:paraId="6000A0A0">
      <w:pPr>
        <w:spacing w:line="240" w:lineRule="auto"/>
        <w:jc w:val="both"/>
        <w:rPr>
          <w:rFonts w:ascii="Times New Roman" w:hAnsi="Times New Roman" w:cs="Times New Roman"/>
          <w:b/>
          <w:bCs/>
        </w:rPr>
      </w:pPr>
      <w:r>
        <w:rPr>
          <w:rFonts w:ascii="Times New Roman" w:hAnsi="Times New Roman" w:cs="Times New Roman"/>
        </w:rPr>
        <w:t>Penelitian ini membahas analisis laporan keuangan dengan fokus pada tiga jenis rasio utama yaitu rasio pasar, rasio profitabilitas, dan rasio manajemen utang. Rasio pasar digunakan untuk mengevaluasi valuasi saham di pasar modal relatif terhadap kinerja keuangan perusahaan. Rasio profitabilitas mengukur kemampuan perusahaan dalam menghasilkan laba dari aset dan modal yang dimiliki. Rasio manajemen utang menilai proporsi utang dalam struktur pembiayaan dan kemampuan perusahaan memenuhi kewajiban utangnya. Studi ini penting untuk memberikan gambaran mengenai efektivitas manajemen, kesehatan keuangan perusahaan, dan membantu investor dalam mengambil keputusan investasi yang tepat.</w:t>
      </w:r>
    </w:p>
    <w:p w14:paraId="051CA9EE">
      <w:pPr>
        <w:spacing w:line="240" w:lineRule="auto"/>
        <w:jc w:val="both"/>
        <w:rPr>
          <w:rFonts w:ascii="Times New Roman" w:hAnsi="Times New Roman" w:cs="Times New Roman"/>
          <w:b/>
          <w:bCs/>
        </w:rPr>
      </w:pPr>
      <w:r>
        <w:rPr>
          <w:rFonts w:ascii="Times New Roman" w:hAnsi="Times New Roman" w:cs="Times New Roman"/>
          <w:b/>
          <w:bCs/>
        </w:rPr>
        <w:t>Abstract</w:t>
      </w:r>
    </w:p>
    <w:p w14:paraId="5E0A9E9A">
      <w:pPr>
        <w:spacing w:line="240" w:lineRule="auto"/>
        <w:jc w:val="both"/>
        <w:rPr>
          <w:rFonts w:ascii="Times New Roman" w:hAnsi="Times New Roman" w:cs="Times New Roman"/>
        </w:rPr>
      </w:pPr>
      <w:r>
        <w:rPr>
          <w:rFonts w:ascii="Times New Roman" w:hAnsi="Times New Roman" w:cs="Times New Roman"/>
        </w:rPr>
        <w:t>This study discusses the analysis of financial statements with a focus on three main types of ratios: market ratios, profitability ratios, and debt management ratios. Market ratios are used to evaluate the valuation of stocks in the capital market relative to the company's financial performance. Profitability ratios measure the company's ability to generate profit from the assets and capital it owns. Debt management ratios assess the proportion of debt in the financing structure and the company's ability to meet its debt obligations. This study is important to provide an overview of management effectiveness, the company's financial health, and to assist investors in making informed investment decisions.</w:t>
      </w:r>
    </w:p>
    <w:p w14:paraId="37325966">
      <w:pPr>
        <w:pBdr>
          <w:bottom w:val="single" w:color="auto" w:sz="6" w:space="1"/>
        </w:pBdr>
        <w:spacing w:line="240" w:lineRule="auto"/>
        <w:jc w:val="both"/>
        <w:rPr>
          <w:rFonts w:ascii="Times New Roman" w:hAnsi="Times New Roman" w:cs="Times New Roman"/>
        </w:rPr>
        <w:sectPr>
          <w:footerReference r:id="rId7" w:type="default"/>
          <w:type w:val="continuous"/>
          <w:pgSz w:w="11906" w:h="16838"/>
          <w:pgMar w:top="1440" w:right="1080" w:bottom="1440" w:left="1080" w:header="708" w:footer="708" w:gutter="0"/>
          <w:cols w:space="708" w:num="2"/>
          <w:docGrid w:linePitch="360" w:charSpace="0"/>
        </w:sectPr>
      </w:pPr>
    </w:p>
    <w:p w14:paraId="2546969F">
      <w:pPr>
        <w:pBdr>
          <w:bottom w:val="double" w:color="auto" w:sz="6" w:space="1"/>
        </w:pBdr>
        <w:spacing w:line="240" w:lineRule="auto"/>
        <w:jc w:val="both"/>
        <w:rPr>
          <w:rFonts w:ascii="Times New Roman" w:hAnsi="Times New Roman" w:cs="Times New Roman"/>
          <w:u w:val="thick"/>
        </w:rPr>
      </w:pPr>
    </w:p>
    <w:p w14:paraId="3B69218B">
      <w:pPr>
        <w:spacing w:line="240" w:lineRule="auto"/>
        <w:jc w:val="both"/>
        <w:rPr>
          <w:rFonts w:ascii="Times New Roman" w:hAnsi="Times New Roman" w:cs="Times New Roman"/>
        </w:rPr>
      </w:pPr>
    </w:p>
    <w:p w14:paraId="6FA896EC">
      <w:pPr>
        <w:spacing w:line="240" w:lineRule="auto"/>
        <w:jc w:val="both"/>
        <w:rPr>
          <w:rFonts w:ascii="Times New Roman" w:hAnsi="Times New Roman" w:cs="Times New Roman"/>
        </w:rPr>
      </w:pPr>
    </w:p>
    <w:p w14:paraId="605765C7">
      <w:pPr>
        <w:pStyle w:val="31"/>
        <w:numPr>
          <w:ilvl w:val="0"/>
          <w:numId w:val="1"/>
        </w:numPr>
        <w:spacing w:line="240" w:lineRule="auto"/>
        <w:jc w:val="both"/>
        <w:rPr>
          <w:rFonts w:ascii="Times New Roman" w:hAnsi="Times New Roman" w:cs="Times New Roman"/>
        </w:rPr>
      </w:pPr>
      <w:r>
        <w:rPr>
          <w:rFonts w:ascii="Times New Roman" w:hAnsi="Times New Roman" w:cs="Times New Roman"/>
          <w:b/>
          <w:bCs/>
        </w:rPr>
        <w:t>Pendahuluan</w:t>
      </w:r>
    </w:p>
    <w:p w14:paraId="4FBF0832">
      <w:pPr>
        <w:pStyle w:val="31"/>
        <w:spacing w:line="240" w:lineRule="auto"/>
        <w:jc w:val="both"/>
        <w:rPr>
          <w:rFonts w:ascii="Times New Roman" w:hAnsi="Times New Roman" w:cs="Times New Roman"/>
          <w:b/>
          <w:bCs/>
        </w:rPr>
      </w:pPr>
    </w:p>
    <w:p w14:paraId="5BB5BB02">
      <w:pPr>
        <w:pStyle w:val="31"/>
        <w:spacing w:line="240" w:lineRule="auto"/>
        <w:ind w:firstLine="720"/>
        <w:jc w:val="both"/>
        <w:rPr>
          <w:rFonts w:ascii="Times New Roman" w:hAnsi="Times New Roman" w:cs="Times New Roman"/>
        </w:rPr>
      </w:pPr>
      <w:r>
        <w:rPr>
          <w:rFonts w:ascii="Times New Roman" w:hAnsi="Times New Roman" w:cs="Times New Roman"/>
        </w:rPr>
        <w:t>Laporan keuangan merupakan sumber informasi penting bagi berbagai pihak, khususnya investor dan manajemen perusahaan. Melalui analisis laporan keuangan, dapat diperoleh gambaran tentang kondisi keuangan dan prospek masa depan perusahaan. Rasio keuangan yang digunakan sebagai alat analisis mencakup rasio pasar yang menilai valuasi saham, rasio profitabilitas yang mengukur efisiensi dan efektivitas operasional, serta rasio manajemen utang yang mengindikasikan tingkat risiko dan struktur modal perusahaan. Dengan pemahaman mendalam terhadap rasio-rasio ini, pengambilan keputusan investasi dan kebijakan perusahaan dapat menjadi lebih akurat dan strategis.</w:t>
      </w:r>
    </w:p>
    <w:p w14:paraId="13F0317D">
      <w:pPr>
        <w:pStyle w:val="31"/>
        <w:spacing w:line="240" w:lineRule="auto"/>
        <w:jc w:val="both"/>
        <w:rPr>
          <w:rFonts w:ascii="Times New Roman" w:hAnsi="Times New Roman" w:cs="Times New Roman"/>
          <w:b/>
          <w:bCs/>
        </w:rPr>
      </w:pPr>
    </w:p>
    <w:p w14:paraId="2D23E8F2">
      <w:pPr>
        <w:pStyle w:val="31"/>
        <w:spacing w:line="240" w:lineRule="auto"/>
        <w:jc w:val="both"/>
        <w:rPr>
          <w:rFonts w:ascii="Times New Roman" w:hAnsi="Times New Roman" w:cs="Times New Roman"/>
        </w:rPr>
      </w:pPr>
    </w:p>
    <w:p w14:paraId="7BBB181E">
      <w:pPr>
        <w:pStyle w:val="31"/>
        <w:numPr>
          <w:ilvl w:val="0"/>
          <w:numId w:val="1"/>
        </w:numPr>
        <w:spacing w:line="240" w:lineRule="auto"/>
        <w:jc w:val="both"/>
        <w:rPr>
          <w:rFonts w:ascii="Times New Roman" w:hAnsi="Times New Roman" w:cs="Times New Roman"/>
        </w:rPr>
      </w:pPr>
      <w:r>
        <w:rPr>
          <w:rFonts w:ascii="Times New Roman" w:hAnsi="Times New Roman" w:cs="Times New Roman"/>
          <w:b/>
          <w:bCs/>
        </w:rPr>
        <w:t xml:space="preserve">Metode </w:t>
      </w:r>
    </w:p>
    <w:p w14:paraId="67FA0F5B">
      <w:pPr>
        <w:pStyle w:val="31"/>
        <w:spacing w:line="240" w:lineRule="auto"/>
        <w:jc w:val="both"/>
        <w:rPr>
          <w:rFonts w:ascii="Times New Roman" w:hAnsi="Times New Roman" w:cs="Times New Roman"/>
          <w:b/>
          <w:bCs/>
        </w:rPr>
      </w:pPr>
    </w:p>
    <w:p w14:paraId="1190F7C3">
      <w:pPr>
        <w:pStyle w:val="31"/>
        <w:spacing w:line="240" w:lineRule="auto"/>
        <w:ind w:firstLine="720"/>
        <w:jc w:val="both"/>
        <w:rPr>
          <w:rFonts w:ascii="Times New Roman" w:hAnsi="Times New Roman" w:cs="Times New Roman"/>
        </w:rPr>
      </w:pPr>
      <w:r>
        <w:rPr>
          <w:rFonts w:ascii="Times New Roman" w:hAnsi="Times New Roman" w:cs="Times New Roman"/>
        </w:rPr>
        <w:t>Penelitian ini menggunakan metode analisis kuantitatif dengan pendekatan studi deskriptif. Data yang digunakan adalah data sekunder berupa laporan keuangan perusahaan yang dianalisis menggunakan berbagai jenis rasio keuangan: rasio pasar, rasio profitabilitas, dan rasio manajemen utang. Analisis dilakukan untuk mengetahui kondisi keuangan perusahaan dari berbagai aspek dan memberikan interpretasi yang mendalam terhadap hasil rasio-rasio tersebut. Teknik pengumpulan data dilakukan melalui studi literatur dan pengumpulan laporan keuangan yang relevan.</w:t>
      </w:r>
    </w:p>
    <w:p w14:paraId="1797F064">
      <w:pPr>
        <w:spacing w:line="240" w:lineRule="auto"/>
        <w:jc w:val="both"/>
        <w:rPr>
          <w:rFonts w:ascii="Times New Roman" w:hAnsi="Times New Roman" w:cs="Times New Roman"/>
        </w:rPr>
      </w:pPr>
    </w:p>
    <w:p w14:paraId="17C2519B">
      <w:pPr>
        <w:pStyle w:val="31"/>
        <w:numPr>
          <w:ilvl w:val="0"/>
          <w:numId w:val="1"/>
        </w:numPr>
        <w:spacing w:line="240" w:lineRule="auto"/>
        <w:jc w:val="both"/>
        <w:rPr>
          <w:rFonts w:ascii="Times New Roman" w:hAnsi="Times New Roman" w:cs="Times New Roman"/>
        </w:rPr>
      </w:pPr>
      <w:r>
        <w:rPr>
          <w:rFonts w:ascii="Times New Roman" w:hAnsi="Times New Roman" w:cs="Times New Roman"/>
          <w:b/>
          <w:bCs/>
        </w:rPr>
        <w:t>Tinjauan Pustaka</w:t>
      </w:r>
    </w:p>
    <w:p w14:paraId="55A6915D">
      <w:pPr>
        <w:pStyle w:val="31"/>
        <w:spacing w:line="240" w:lineRule="auto"/>
        <w:jc w:val="both"/>
        <w:rPr>
          <w:rFonts w:ascii="Times New Roman" w:hAnsi="Times New Roman" w:cs="Times New Roman"/>
          <w:b/>
          <w:bCs/>
        </w:rPr>
      </w:pPr>
    </w:p>
    <w:p w14:paraId="5C56F407">
      <w:pPr>
        <w:pStyle w:val="31"/>
        <w:numPr>
          <w:ilvl w:val="0"/>
          <w:numId w:val="2"/>
        </w:numPr>
        <w:spacing w:line="240" w:lineRule="auto"/>
        <w:jc w:val="both"/>
        <w:rPr>
          <w:rFonts w:ascii="Times New Roman" w:hAnsi="Times New Roman" w:cs="Times New Roman"/>
        </w:rPr>
      </w:pPr>
      <w:r>
        <w:rPr>
          <w:rFonts w:ascii="Times New Roman" w:hAnsi="Times New Roman" w:cs="Times New Roman"/>
        </w:rPr>
        <w:t>Rasio Pasar</w:t>
      </w:r>
    </w:p>
    <w:p w14:paraId="59284027">
      <w:pPr>
        <w:pStyle w:val="31"/>
        <w:spacing w:line="240" w:lineRule="auto"/>
        <w:ind w:left="1080" w:firstLine="360"/>
        <w:jc w:val="both"/>
        <w:rPr>
          <w:rFonts w:ascii="Times New Roman" w:hAnsi="Times New Roman" w:cs="Times New Roman"/>
        </w:rPr>
      </w:pPr>
      <w:r>
        <w:rPr>
          <w:rFonts w:ascii="Times New Roman" w:hAnsi="Times New Roman" w:cs="Times New Roman"/>
        </w:rPr>
        <w:t>Rasio pasar digunakan untuk mengevaluasi valuasi saham perusahaan di pasar modal terhadap kinerja internal seperti laba bersih dan nilai buku per saham. Rasio ini membantu menilai apakah saham overvalued atau undervalued serta memberikan informasi tentang ekspektasi investor terhadap pertumbuhan laba di masa depan (Brigham dan Houston, 2019). Rasio pasar umum meliputi Earnings Per Share (EPS), Price to Earnings Ratio (PER), Price to Book Value (PBV), dan Dividend Yield.</w:t>
      </w:r>
    </w:p>
    <w:p w14:paraId="131DD51B">
      <w:pPr>
        <w:pStyle w:val="31"/>
        <w:spacing w:line="240" w:lineRule="auto"/>
        <w:ind w:left="1080" w:firstLine="360"/>
        <w:jc w:val="both"/>
        <w:rPr>
          <w:rFonts w:ascii="Times New Roman" w:hAnsi="Times New Roman" w:cs="Times New Roman"/>
        </w:rPr>
      </w:pPr>
    </w:p>
    <w:p w14:paraId="278BC74D">
      <w:pPr>
        <w:pStyle w:val="31"/>
        <w:numPr>
          <w:ilvl w:val="0"/>
          <w:numId w:val="2"/>
        </w:numPr>
        <w:spacing w:line="240" w:lineRule="auto"/>
        <w:jc w:val="both"/>
        <w:rPr>
          <w:rFonts w:ascii="Times New Roman" w:hAnsi="Times New Roman" w:cs="Times New Roman"/>
        </w:rPr>
      </w:pPr>
      <w:r>
        <w:rPr>
          <w:rFonts w:ascii="Times New Roman" w:hAnsi="Times New Roman" w:cs="Times New Roman"/>
        </w:rPr>
        <w:t xml:space="preserve">Rasio Profitabilitas </w:t>
      </w:r>
    </w:p>
    <w:p w14:paraId="27586186">
      <w:pPr>
        <w:pStyle w:val="31"/>
        <w:spacing w:line="240" w:lineRule="auto"/>
        <w:ind w:left="1080" w:firstLine="360"/>
        <w:jc w:val="both"/>
        <w:rPr>
          <w:rFonts w:ascii="Times New Roman" w:hAnsi="Times New Roman" w:cs="Times New Roman"/>
        </w:rPr>
      </w:pPr>
      <w:r>
        <w:rPr>
          <w:rFonts w:ascii="Times New Roman" w:hAnsi="Times New Roman" w:cs="Times New Roman"/>
        </w:rPr>
        <w:t>Rasio profitabilitas mengukur kemampuan perusahaan dalam menghasilkan laba dari aktivitas operasional dan penggunaan asetnya (Damodaran, 2012; Reilly &amp; Brown, 2018). Indikator utama rasio profitabilitas antara lain Net Profit Margin (NPM), Return on Assets (ROA), Return on Equity (ROE), Gross Profit Margin (GPM), dan Operating Profit Margin (OPM) yang masing-masing memberikan perspektif berbeda tentang efisiensi dan profitabilitas perusahaan.</w:t>
      </w:r>
    </w:p>
    <w:p w14:paraId="210DF840">
      <w:pPr>
        <w:pStyle w:val="31"/>
        <w:spacing w:line="240" w:lineRule="auto"/>
        <w:ind w:left="1080" w:firstLine="360"/>
        <w:jc w:val="both"/>
        <w:rPr>
          <w:rFonts w:ascii="Times New Roman" w:hAnsi="Times New Roman" w:cs="Times New Roman"/>
        </w:rPr>
      </w:pPr>
    </w:p>
    <w:p w14:paraId="11639C2C">
      <w:pPr>
        <w:pStyle w:val="31"/>
        <w:spacing w:line="240" w:lineRule="auto"/>
        <w:ind w:left="1080" w:firstLine="360"/>
        <w:jc w:val="both"/>
        <w:rPr>
          <w:rFonts w:ascii="Times New Roman" w:hAnsi="Times New Roman" w:cs="Times New Roman"/>
        </w:rPr>
      </w:pPr>
    </w:p>
    <w:p w14:paraId="62FD830A">
      <w:pPr>
        <w:pStyle w:val="31"/>
        <w:spacing w:line="240" w:lineRule="auto"/>
        <w:ind w:left="1080" w:firstLine="360"/>
        <w:jc w:val="both"/>
        <w:rPr>
          <w:rFonts w:ascii="Times New Roman" w:hAnsi="Times New Roman" w:cs="Times New Roman"/>
        </w:rPr>
      </w:pPr>
    </w:p>
    <w:p w14:paraId="59940C5D">
      <w:pPr>
        <w:pStyle w:val="31"/>
        <w:spacing w:line="240" w:lineRule="auto"/>
        <w:ind w:left="1080" w:firstLine="360"/>
        <w:jc w:val="both"/>
        <w:rPr>
          <w:rFonts w:ascii="Times New Roman" w:hAnsi="Times New Roman" w:cs="Times New Roman"/>
        </w:rPr>
      </w:pPr>
    </w:p>
    <w:p w14:paraId="46343F65">
      <w:pPr>
        <w:pStyle w:val="31"/>
        <w:numPr>
          <w:ilvl w:val="0"/>
          <w:numId w:val="2"/>
        </w:numPr>
        <w:spacing w:line="240" w:lineRule="auto"/>
        <w:jc w:val="both"/>
        <w:rPr>
          <w:rFonts w:ascii="Times New Roman" w:hAnsi="Times New Roman" w:cs="Times New Roman"/>
        </w:rPr>
      </w:pPr>
      <w:r>
        <w:rPr>
          <w:rFonts w:ascii="Times New Roman" w:hAnsi="Times New Roman" w:cs="Times New Roman"/>
        </w:rPr>
        <w:t>Rasio Manajemen Utang</w:t>
      </w:r>
    </w:p>
    <w:p w14:paraId="17629078">
      <w:pPr>
        <w:pStyle w:val="31"/>
        <w:spacing w:line="240" w:lineRule="auto"/>
        <w:ind w:left="1080" w:firstLine="360"/>
        <w:jc w:val="both"/>
        <w:rPr>
          <w:rFonts w:ascii="Times New Roman" w:hAnsi="Times New Roman" w:cs="Times New Roman"/>
        </w:rPr>
      </w:pPr>
      <w:r>
        <w:rPr>
          <w:rFonts w:ascii="Times New Roman" w:hAnsi="Times New Roman" w:cs="Times New Roman"/>
        </w:rPr>
        <w:t>Rasio manajemen utang menilai proporsi utang dalam struktur modal dan kemampuan perusahaan untuk memenuhi kewajiban utangnya (Brigham &amp; Houston, 2019; Damodaran, 2012). Rasio ini penting untuk menilai risiko keuangan dan solvabilitas perusahaan. Contoh rasio manajemen utang adalah Debt-to-Assets Ratio (DAR), Debt-to-Equity Ratio (DER), Debt-to-Capital Ratio (DCR), Debt-to-EBITDA, dan Times Interest Earned (Interest Coverage Ratio).</w:t>
      </w:r>
    </w:p>
    <w:p w14:paraId="60A8C1E4">
      <w:pPr>
        <w:pStyle w:val="31"/>
        <w:spacing w:line="240" w:lineRule="auto"/>
        <w:ind w:left="1080" w:firstLine="360"/>
        <w:jc w:val="both"/>
        <w:rPr>
          <w:rFonts w:ascii="Times New Roman" w:hAnsi="Times New Roman" w:cs="Times New Roman"/>
        </w:rPr>
      </w:pPr>
    </w:p>
    <w:p w14:paraId="1455220A">
      <w:pPr>
        <w:pStyle w:val="31"/>
        <w:numPr>
          <w:ilvl w:val="0"/>
          <w:numId w:val="1"/>
        </w:numPr>
        <w:spacing w:line="240" w:lineRule="auto"/>
        <w:jc w:val="both"/>
        <w:rPr>
          <w:rFonts w:ascii="Times New Roman" w:hAnsi="Times New Roman" w:cs="Times New Roman"/>
        </w:rPr>
      </w:pPr>
      <w:r>
        <w:rPr>
          <w:rFonts w:ascii="Times New Roman" w:hAnsi="Times New Roman" w:cs="Times New Roman"/>
          <w:b/>
          <w:bCs/>
        </w:rPr>
        <w:t>Hasil dan Pembahasan</w:t>
      </w:r>
    </w:p>
    <w:p w14:paraId="7A947B3C">
      <w:pPr>
        <w:pStyle w:val="31"/>
        <w:spacing w:line="240" w:lineRule="auto"/>
        <w:jc w:val="both"/>
        <w:rPr>
          <w:rFonts w:ascii="Times New Roman" w:hAnsi="Times New Roman" w:cs="Times New Roman"/>
        </w:rPr>
      </w:pPr>
    </w:p>
    <w:p w14:paraId="3DB6CF10">
      <w:pPr>
        <w:pStyle w:val="31"/>
        <w:numPr>
          <w:ilvl w:val="1"/>
          <w:numId w:val="1"/>
        </w:numPr>
        <w:spacing w:line="240" w:lineRule="auto"/>
        <w:jc w:val="both"/>
        <w:rPr>
          <w:rFonts w:ascii="Times New Roman" w:hAnsi="Times New Roman" w:cs="Times New Roman"/>
          <w:i/>
          <w:iCs/>
        </w:rPr>
      </w:pPr>
      <w:r>
        <w:rPr>
          <w:rFonts w:ascii="Times New Roman" w:hAnsi="Times New Roman" w:cs="Times New Roman"/>
          <w:i/>
          <w:iCs/>
        </w:rPr>
        <w:t>Rasio Pasar</w:t>
      </w:r>
    </w:p>
    <w:p w14:paraId="236374DE">
      <w:pPr>
        <w:pStyle w:val="31"/>
        <w:spacing w:line="240" w:lineRule="auto"/>
        <w:ind w:left="1080"/>
        <w:jc w:val="both"/>
        <w:rPr>
          <w:rFonts w:ascii="Times New Roman" w:hAnsi="Times New Roman" w:cs="Times New Roman"/>
        </w:rPr>
      </w:pPr>
    </w:p>
    <w:p w14:paraId="03540B63">
      <w:pPr>
        <w:pStyle w:val="31"/>
        <w:spacing w:line="240" w:lineRule="auto"/>
        <w:ind w:left="1080" w:firstLine="360"/>
        <w:jc w:val="both"/>
        <w:rPr>
          <w:rFonts w:ascii="Times New Roman" w:hAnsi="Times New Roman" w:cs="Times New Roman"/>
        </w:rPr>
      </w:pPr>
      <w:r>
        <w:rPr>
          <w:rFonts w:ascii="Times New Roman" w:hAnsi="Times New Roman" w:cs="Times New Roman"/>
        </w:rPr>
        <w:t>Rasio pasar adalah salah satu alat analisis keuangan yang digunakan untuk mengevaluasi valuasi saham perusahaan di pasar modal relatif terhadap kinerja keuangan internal, terutama laba bersih dan nilai buku per saham. Rasio ini tidak hanya memberikan informasi mengenai harga saham saat ini, tetapi juga mencerminkan ekspektasi investor terhadap pertumbuhan laba di masa depan dan prospek keberlanjutan perusahaan. Rasio pasar sangat relevan dalam konteks teori valuasi saham, di mana harga pasar diharapkan mencerminkan nilai intrinsik suatu perusahaan (Brigham dan Houston, 2019).</w:t>
      </w:r>
    </w:p>
    <w:p w14:paraId="282F1445">
      <w:pPr>
        <w:pStyle w:val="31"/>
        <w:spacing w:line="240" w:lineRule="auto"/>
        <w:ind w:left="1080" w:firstLine="360"/>
        <w:jc w:val="both"/>
        <w:rPr>
          <w:rFonts w:ascii="Times New Roman" w:hAnsi="Times New Roman" w:cs="Times New Roman"/>
        </w:rPr>
      </w:pPr>
      <w:r>
        <w:rPr>
          <w:rFonts w:ascii="Times New Roman" w:hAnsi="Times New Roman" w:cs="Times New Roman"/>
        </w:rPr>
        <w:t>Rasio ini membantu investor dan analis untuk menilai apakah saham perusahaan tergolong overvalued, undervalued, atau fairly valued. Informasi dari rasio pasar juga dapat digunakan manajemen dalam merancang strategi pembagian dividen dan perencanaan investasi kembali (reinvestment). Selain itu, rasio pasar memberikan indikator mengenai persepsi pasar terhadap risiko dan potensi pertumbuhan perusahaan di sektor industrinya. Rasio yang paling umum digunakan antara lain: Earning Per Share (EPS), Price to Earnings Ratio (PER), Price to Book Value (PBV), dan Dividend Yield.</w:t>
      </w:r>
    </w:p>
    <w:p w14:paraId="64D4B5AD">
      <w:pPr>
        <w:pStyle w:val="31"/>
        <w:spacing w:line="240" w:lineRule="auto"/>
        <w:ind w:left="1080" w:firstLine="360"/>
        <w:jc w:val="both"/>
        <w:rPr>
          <w:rFonts w:ascii="Times New Roman" w:hAnsi="Times New Roman" w:cs="Times New Roman"/>
        </w:rPr>
      </w:pPr>
    </w:p>
    <w:p w14:paraId="6D963284">
      <w:pPr>
        <w:pStyle w:val="31"/>
        <w:numPr>
          <w:ilvl w:val="0"/>
          <w:numId w:val="3"/>
        </w:numPr>
        <w:spacing w:line="240" w:lineRule="auto"/>
        <w:jc w:val="both"/>
        <w:rPr>
          <w:rFonts w:ascii="Times New Roman" w:hAnsi="Times New Roman" w:cs="Times New Roman"/>
        </w:rPr>
      </w:pPr>
      <w:r>
        <w:rPr>
          <w:rFonts w:ascii="Times New Roman" w:hAnsi="Times New Roman" w:cs="Times New Roman"/>
        </w:rPr>
        <w:t>Jenis-Jenis Rasio</w:t>
      </w:r>
    </w:p>
    <w:p w14:paraId="36E7ED8A">
      <w:pPr>
        <w:pStyle w:val="31"/>
        <w:numPr>
          <w:ilvl w:val="0"/>
          <w:numId w:val="4"/>
        </w:numPr>
        <w:spacing w:line="240" w:lineRule="auto"/>
        <w:jc w:val="both"/>
        <w:rPr>
          <w:rFonts w:ascii="Times New Roman" w:hAnsi="Times New Roman" w:cs="Times New Roman"/>
        </w:rPr>
      </w:pPr>
      <w:r>
        <w:rPr>
          <w:rFonts w:ascii="Times New Roman" w:hAnsi="Times New Roman" w:cs="Times New Roman"/>
        </w:rPr>
        <w:t>Earing Per Share (EPS)</w:t>
      </w:r>
    </w:p>
    <w:p w14:paraId="7B9478F8">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EPS menunjukkan jumlah laba bersih yang dihasilkan oleh setiap lembar saham. Rasio ini sangat penting karena menjadi dasar bagi investor untuk menilai profitabilitas perusahaan per unit saham. Semakin tinggi EPS, semakin besar potensi keuntungan yang diperoleh pemegang saham, sehingga saham perusahaan lebih menarik untuk dibeli. Selain itu, EPS digunakan sebagai dasar perhitungan rasio lain seperti PER dan dapat mempengaruhi keputusan dividen dan strategi reinvestasi perusahaan. EPS yang meningkat dari tahun ke tahun biasanya mencerminkan pertumbuhan laba yang konsisten dan manajemen yang efektif dalam mengelola sumber daya perusahaan. </w:t>
      </w:r>
    </w:p>
    <w:p w14:paraId="6EECB524">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6E3BEB7D">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w:t>EPS</w:t>
      </w:r>
      <w:r>
        <w:rPr>
          <w:rFonts w:ascii="Times New Roman" w:hAnsi="Times New Roman" w:cs="Times New Roman"/>
          <w:sz w:val="32"/>
          <w:szCs w:val="32"/>
        </w:rPr>
        <w:t xml:space="preserve"> =  </w:t>
      </w:r>
      <w:r>
        <w:rPr>
          <w:rFonts w:ascii="Times New Roman" w:hAnsi="Times New Roman" w:cs="Times New Roman"/>
        </w:rPr>
        <w:t>Laba bersih setelah pajak</w:t>
      </w:r>
    </w:p>
    <w:p w14:paraId="3F51AA22">
      <w:pPr>
        <w:pStyle w:val="31"/>
        <w:spacing w:line="240" w:lineRule="auto"/>
        <w:ind w:left="1800" w:firstLine="360"/>
        <w:jc w:val="both"/>
        <w:rPr>
          <w:rFonts w:ascii="Times New Roman" w:hAnsi="Times New Roman" w:cs="Times New Roman"/>
        </w:rPr>
      </w:pPr>
      <w:r>
        <w:rPr>
          <w:rFonts w:ascii="Times New Roman" w:hAnsi="Times New Roman"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1856740</wp:posOffset>
                </wp:positionH>
                <wp:positionV relativeFrom="paragraph">
                  <wp:posOffset>8890</wp:posOffset>
                </wp:positionV>
                <wp:extent cx="178117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17811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6.2pt;margin-top:0.7pt;height:0.75pt;width:140.25pt;z-index:251659264;mso-width-relative:page;mso-height-relative:page;" filled="f" stroked="t" coordsize="21600,21600" o:gfxdata="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MI9jT1AAAAAcBAAAPAAAAAAAA&#10;AAEAIAAAACIAAABkcnMvZG93bnJldi54bWxQSwECFAAUAAAACACHTuJAgXwKCd0BAADBAwAADgAA&#10;AAAAAAABACAAAAAjAQAAZHJzL2Uyb0RvYy54bWxQSwUGAAAAAAYABgBZAQAAcgUAAAAA&#10;">
                <v:fill on="f" focussize="0,0"/>
                <v:stroke weight="0.5pt" color="#000000 [3200]" miterlimit="8" joinstyle="miter"/>
                <v:imagedata o:title=""/>
                <o:lock v:ext="edit" aspectratio="f"/>
              </v:line>
            </w:pict>
          </mc:Fallback>
        </mc:AlternateContent>
      </w:r>
      <w:r>
        <w:rPr>
          <w:rFonts w:ascii="Times New Roman" w:hAnsi="Times New Roman" w:cs="Times New Roman"/>
        </w:rPr>
        <w:t xml:space="preserve">                 Jumlah saham beredar</w:t>
      </w:r>
    </w:p>
    <w:p w14:paraId="7F69FF6F">
      <w:pPr>
        <w:pStyle w:val="31"/>
        <w:spacing w:line="240" w:lineRule="auto"/>
        <w:ind w:left="1800" w:firstLine="360"/>
        <w:jc w:val="both"/>
        <w:rPr>
          <w:rFonts w:ascii="Times New Roman" w:hAnsi="Times New Roman" w:cs="Times New Roman"/>
        </w:rPr>
      </w:pPr>
    </w:p>
    <w:p w14:paraId="7F9A8B9D">
      <w:pPr>
        <w:pStyle w:val="31"/>
        <w:spacing w:line="240" w:lineRule="auto"/>
        <w:ind w:left="1800" w:firstLine="360"/>
        <w:jc w:val="both"/>
        <w:rPr>
          <w:rFonts w:ascii="Times New Roman" w:hAnsi="Times New Roman" w:cs="Times New Roman"/>
        </w:rPr>
      </w:pPr>
      <w:r>
        <w:rPr>
          <w:rFonts w:ascii="Times New Roman" w:hAnsi="Times New Roman" w:cs="Times New Roman"/>
        </w:rPr>
        <w:t>Atau dalam bentuk lain jika perusahaan memiliki saham preferen</w:t>
      </w:r>
    </w:p>
    <w:p w14:paraId="7B5119A9">
      <w:pPr>
        <w:pStyle w:val="31"/>
        <w:spacing w:line="240" w:lineRule="auto"/>
        <w:ind w:left="1800" w:firstLine="360"/>
        <w:jc w:val="both"/>
        <w:rPr>
          <w:rFonts w:ascii="Times New Roman" w:hAnsi="Times New Roman" w:cs="Times New Roman"/>
        </w:rPr>
      </w:pPr>
    </w:p>
    <w:p w14:paraId="5A914C4D">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w:t>EPS</w:t>
      </w:r>
      <w:r>
        <w:rPr>
          <w:rFonts w:ascii="Times New Roman" w:hAnsi="Times New Roman" w:cs="Times New Roman"/>
          <w:sz w:val="32"/>
          <w:szCs w:val="32"/>
        </w:rPr>
        <w:t xml:space="preserve"> = </w:t>
      </w:r>
      <w:r>
        <w:rPr>
          <w:rFonts w:ascii="Times New Roman" w:hAnsi="Times New Roman" w:cs="Times New Roman"/>
        </w:rPr>
        <w:t>Laba bersih setelah pajak-Dividen saham preferen</w:t>
      </w:r>
    </w:p>
    <w:p w14:paraId="4C99F5CC">
      <w:pPr>
        <w:pStyle w:val="31"/>
        <w:spacing w:line="240" w:lineRule="auto"/>
        <w:ind w:left="1800" w:firstLine="360"/>
        <w:rPr>
          <w:rFonts w:ascii="Times New Roman" w:hAnsi="Times New Roman" w:cs="Times New Roman"/>
        </w:rPr>
      </w:pPr>
      <w:r>
        <w:rPr>
          <w:rFonts w:ascii="Times New Roman" w:hAnsi="Times New Roman" w:cs="Times New Roman"/>
          <w:sz w:val="32"/>
          <w:szCs w:val="32"/>
        </w:rPr>
        <mc:AlternateContent>
          <mc:Choice Requires="wps">
            <w:drawing>
              <wp:anchor distT="0" distB="0" distL="114300" distR="114300" simplePos="0" relativeHeight="251660288" behindDoc="0" locked="0" layoutInCell="1" allowOverlap="1">
                <wp:simplePos x="0" y="0"/>
                <wp:positionH relativeFrom="column">
                  <wp:posOffset>1894840</wp:posOffset>
                </wp:positionH>
                <wp:positionV relativeFrom="paragraph">
                  <wp:posOffset>5715</wp:posOffset>
                </wp:positionV>
                <wp:extent cx="3095625" cy="1905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30956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9.2pt;margin-top:0.45pt;height:1.5pt;width:243.75pt;z-index:251660288;mso-width-relative:page;mso-height-relative:page;" filled="f" stroked="t" coordsize="21600,21600" o:gfxdata="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3IBL61QAAAAYBAAAPAAAAAAAAAAEAIAAA&#10;ACIAAABkcnMvZG93bnJldi54bWxQSwECFAAUAAAACACHTuJAIta6HNYBAAC4AwAADgAAAAAAAAAB&#10;ACAAAAAkAQAAZHJzL2Uyb0RvYy54bWxQSwUGAAAAAAYABgBZAQAAbAUAAAAA&#10;">
                <v:fill on="f" focussize="0,0"/>
                <v:stroke weight="0.5pt" color="#000000 [3200]" miterlimit="8" joinstyle="miter"/>
                <v:imagedata o:title=""/>
                <o:lock v:ext="edit" aspectratio="f"/>
              </v:line>
            </w:pict>
          </mc:Fallback>
        </mc:AlternateContent>
      </w:r>
      <w:r>
        <w:rPr>
          <w:rFonts w:ascii="Times New Roman" w:hAnsi="Times New Roman" w:cs="Times New Roman"/>
        </w:rPr>
        <w:t xml:space="preserve">                                   Jumlah saham beredar</w:t>
      </w:r>
    </w:p>
    <w:p w14:paraId="5A3EE8E1">
      <w:pPr>
        <w:pStyle w:val="31"/>
        <w:spacing w:line="240" w:lineRule="auto"/>
        <w:ind w:left="1800" w:firstLine="360"/>
        <w:rPr>
          <w:rFonts w:ascii="Times New Roman" w:hAnsi="Times New Roman" w:cs="Times New Roman"/>
        </w:rPr>
      </w:pPr>
    </w:p>
    <w:p w14:paraId="67E0189D">
      <w:pPr>
        <w:pStyle w:val="31"/>
        <w:spacing w:line="240" w:lineRule="auto"/>
        <w:ind w:left="1800"/>
        <w:jc w:val="both"/>
        <w:rPr>
          <w:rFonts w:ascii="Times New Roman" w:hAnsi="Times New Roman" w:cs="Times New Roman"/>
        </w:rPr>
      </w:pPr>
    </w:p>
    <w:p w14:paraId="4B55013D">
      <w:pPr>
        <w:pStyle w:val="31"/>
        <w:spacing w:line="240" w:lineRule="auto"/>
        <w:ind w:left="1800"/>
        <w:jc w:val="both"/>
        <w:rPr>
          <w:rFonts w:ascii="Times New Roman" w:hAnsi="Times New Roman" w:cs="Times New Roman"/>
        </w:rPr>
      </w:pPr>
    </w:p>
    <w:p w14:paraId="20E4C0A1">
      <w:pPr>
        <w:pStyle w:val="31"/>
        <w:numPr>
          <w:ilvl w:val="0"/>
          <w:numId w:val="4"/>
        </w:numPr>
        <w:spacing w:line="240" w:lineRule="auto"/>
        <w:jc w:val="both"/>
        <w:rPr>
          <w:rFonts w:ascii="Times New Roman" w:hAnsi="Times New Roman" w:cs="Times New Roman"/>
        </w:rPr>
      </w:pPr>
      <w:r>
        <w:rPr>
          <w:rFonts w:ascii="Times New Roman" w:hAnsi="Times New Roman" w:cs="Times New Roman"/>
        </w:rPr>
        <w:t>Price to Earnings Ratio (PER)</w:t>
      </w:r>
    </w:p>
    <w:p w14:paraId="123339A9">
      <w:pPr>
        <w:pStyle w:val="31"/>
        <w:spacing w:line="240" w:lineRule="auto"/>
        <w:ind w:left="1800" w:firstLine="360"/>
        <w:jc w:val="both"/>
        <w:rPr>
          <w:rFonts w:ascii="Times New Roman" w:hAnsi="Times New Roman" w:cs="Times New Roman"/>
        </w:rPr>
      </w:pPr>
      <w:r>
        <w:rPr>
          <w:rFonts w:ascii="Times New Roman" w:hAnsi="Times New Roman" w:cs="Times New Roman"/>
        </w:rPr>
        <w:t>PER menggambarkan hubungan antara harga saham saat ini dengan laba yang dihasilkan per saham. Rasio ini membantu investor memahami berapa banyak yang bersedia dibayar pasar untuk setiap unit laba. PER tinggi biasanya menunjukkan bahwa pasar mengantisipasi pertumbuhan laba yang tinggi di masa depan, sedangkan PER rendah bisa menandakan saham undervalued atau pertumbuhan laba yang stagnan. PER juga dapat dibandingkan antar perusahaan sejenis dalam satu industri untuk menilai apakah suatu saham relatif lebih mahal atau murah.</w:t>
      </w:r>
    </w:p>
    <w:p w14:paraId="31A65114">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7CADF233">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w:t xml:space="preserve">PER =  </w:t>
      </w:r>
      <w:r>
        <w:rPr>
          <w:rFonts w:ascii="Times New Roman" w:hAnsi="Times New Roman" w:cs="Times New Roman"/>
        </w:rPr>
        <w:t>Harga saham per lembar</w:t>
      </w:r>
    </w:p>
    <w:p w14:paraId="31901525">
      <w:pPr>
        <w:pStyle w:val="31"/>
        <w:spacing w:line="240" w:lineRule="auto"/>
        <w:ind w:left="1800" w:firstLine="36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1847850</wp:posOffset>
                </wp:positionH>
                <wp:positionV relativeFrom="paragraph">
                  <wp:posOffset>8890</wp:posOffset>
                </wp:positionV>
                <wp:extent cx="17526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1752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5.5pt;margin-top:0.7pt;height:0.75pt;width:138pt;z-index:251661312;mso-width-relative:page;mso-height-relative:page;" filled="f" stroked="t" coordsize="21600,21600" o:gfxdata="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IJ9VP1AAAAAcBAAAPAAAAAAAA&#10;AAEAIAAAACIAAABkcnMvZG93bnJldi54bWxQSwECFAAUAAAACACHTuJAIr/6Ad0BAADBAwAADgAA&#10;AAAAAAABACAAAAAjAQAAZHJzL2Uyb0RvYy54bWxQSwUGAAAAAAYABgBZAQAAcgUAAAAA&#10;">
                <v:fill on="f" focussize="0,0"/>
                <v:stroke weight="0.5pt" color="#000000 [3200]" miterlimit="8" joinstyle="miter"/>
                <v:imagedata o:title=""/>
                <o:lock v:ext="edit" aspectratio="f"/>
              </v:line>
            </w:pict>
          </mc:Fallback>
        </mc:AlternateContent>
      </w:r>
      <w:r>
        <w:rPr>
          <w:rFonts w:ascii="Times New Roman" w:hAnsi="Times New Roman" w:cs="Times New Roman"/>
        </w:rPr>
        <w:t xml:space="preserve">               Earnings per share (EPS)</w:t>
      </w:r>
    </w:p>
    <w:p w14:paraId="20268CAD">
      <w:pPr>
        <w:pStyle w:val="31"/>
        <w:spacing w:line="240" w:lineRule="auto"/>
        <w:ind w:left="1800" w:firstLine="360"/>
        <w:jc w:val="both"/>
        <w:rPr>
          <w:rFonts w:ascii="Times New Roman" w:hAnsi="Times New Roman" w:cs="Times New Roman"/>
        </w:rPr>
      </w:pPr>
    </w:p>
    <w:p w14:paraId="6AF57F1D">
      <w:pPr>
        <w:pStyle w:val="31"/>
        <w:spacing w:line="240" w:lineRule="auto"/>
        <w:ind w:left="1800" w:firstLine="360"/>
        <w:jc w:val="both"/>
        <w:rPr>
          <w:rFonts w:ascii="Times New Roman" w:hAnsi="Times New Roman" w:cs="Times New Roman"/>
        </w:rPr>
      </w:pPr>
    </w:p>
    <w:p w14:paraId="59F3D7E9">
      <w:pPr>
        <w:pStyle w:val="31"/>
        <w:numPr>
          <w:ilvl w:val="0"/>
          <w:numId w:val="4"/>
        </w:numPr>
        <w:spacing w:line="240" w:lineRule="auto"/>
        <w:jc w:val="both"/>
        <w:rPr>
          <w:rFonts w:ascii="Times New Roman" w:hAnsi="Times New Roman" w:cs="Times New Roman"/>
        </w:rPr>
      </w:pPr>
      <w:r>
        <w:rPr>
          <w:rFonts w:ascii="Times New Roman" w:hAnsi="Times New Roman" w:cs="Times New Roman"/>
        </w:rPr>
        <w:t>Price to Book Value (PBV)</w:t>
      </w:r>
    </w:p>
    <w:p w14:paraId="4E33FD4F">
      <w:pPr>
        <w:pStyle w:val="31"/>
        <w:spacing w:line="240" w:lineRule="auto"/>
        <w:ind w:left="1800" w:firstLine="360"/>
        <w:jc w:val="both"/>
        <w:rPr>
          <w:rFonts w:ascii="Times New Roman" w:hAnsi="Times New Roman" w:cs="Times New Roman"/>
        </w:rPr>
      </w:pPr>
      <w:r>
        <w:rPr>
          <w:rFonts w:ascii="Times New Roman" w:hAnsi="Times New Roman" w:cs="Times New Roman"/>
        </w:rPr>
        <w:t>PBV menilai harga saham dibandingkan dengan nilai buku (book value) perusahaan, yaitu nilai aset setelah dikurangi liabilitas. PBV rendah bisa menunjukkan saham undervalued, sedangkan PBV tinggi menunjukkan ekspektasi pertumbuhan atau premium yang diberikan pasar atas aset perusahaan. Rasio ini penting bagi investor yang fokus pada analisis fundamental, karena memberikan perspektif tentang sejauh mana harga pasar mencerminkan nilai aset riil perusahaan.</w:t>
      </w:r>
    </w:p>
    <w:p w14:paraId="5AEDDBD1">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61F6C55D">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mc:AlternateContent>
          <mc:Choice Requires="wps">
            <w:drawing>
              <wp:anchor distT="0" distB="0" distL="114300" distR="114300" simplePos="0" relativeHeight="251662336" behindDoc="0" locked="0" layoutInCell="1" allowOverlap="1">
                <wp:simplePos x="0" y="0"/>
                <wp:positionH relativeFrom="column">
                  <wp:posOffset>1818640</wp:posOffset>
                </wp:positionH>
                <wp:positionV relativeFrom="paragraph">
                  <wp:posOffset>195580</wp:posOffset>
                </wp:positionV>
                <wp:extent cx="1800225" cy="1905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18002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3.2pt;margin-top:15.4pt;height:1.5pt;width:141.75pt;z-index:251662336;mso-width-relative:page;mso-height-relative:page;" filled="f" stroked="t" coordsize="21600,21600" o:gfxdata="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YXHZ51wAAAAkBAAAP&#10;AAAAAAAAAAEAIAAAACIAAABkcnMvZG93bnJldi54bWxQSwECFAAUAAAACACHTuJABYyRAuABAADC&#10;AwAADgAAAAAAAAABACAAAAAmAQAAZHJzL2Uyb0RvYy54bWxQSwUGAAAAAAYABgBZAQAAeAUAAAAA&#10;">
                <v:fill on="f" focussize="0,0"/>
                <v:stroke weight="0.5pt" color="#000000 [3200]" miterlimit="8" joinstyle="miter"/>
                <v:imagedata o:title=""/>
                <o:lock v:ext="edit" aspectratio="f"/>
              </v:line>
            </w:pict>
          </mc:Fallback>
        </mc:AlternateContent>
      </w:r>
      <w:r>
        <w:rPr>
          <w:rFonts w:ascii="Times New Roman" w:hAnsi="Times New Roman" w:cs="Times New Roman"/>
          <w:sz w:val="28"/>
          <w:szCs w:val="28"/>
        </w:rPr>
        <w:t xml:space="preserve">PBV =   </w:t>
      </w:r>
      <w:r>
        <w:rPr>
          <w:rFonts w:ascii="Times New Roman" w:hAnsi="Times New Roman" w:cs="Times New Roman"/>
        </w:rPr>
        <w:t>Harga saham per lembar</w:t>
      </w:r>
    </w:p>
    <w:p w14:paraId="2C198D55">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Nilai buku per saham(BVPS)</w:t>
      </w:r>
    </w:p>
    <w:p w14:paraId="6B34CD50">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Sedangkan nilai buku per saham dapat dihitung dengan</w:t>
      </w:r>
    </w:p>
    <w:p w14:paraId="0ACA07B7">
      <w:pPr>
        <w:pStyle w:val="31"/>
        <w:spacing w:line="240" w:lineRule="auto"/>
        <w:ind w:left="1800" w:firstLine="360"/>
        <w:jc w:val="both"/>
        <w:rPr>
          <w:rFonts w:ascii="Times New Roman" w:hAnsi="Times New Roman" w:cs="Times New Roman"/>
          <w:sz w:val="28"/>
          <w:szCs w:val="28"/>
        </w:rPr>
      </w:pPr>
      <w:r>
        <w:rPr>
          <w:rFonts w:ascii="Times New Roman" w:hAnsi="Times New Roman" w:cs="Times New Roman"/>
          <w:sz w:val="28"/>
          <w:szCs w:val="28"/>
        </w:rPr>
        <mc:AlternateContent>
          <mc:Choice Requires="wps">
            <w:drawing>
              <wp:anchor distT="0" distB="0" distL="114300" distR="114300" simplePos="0" relativeHeight="251663360" behindDoc="0" locked="0" layoutInCell="1" allowOverlap="1">
                <wp:simplePos x="0" y="0"/>
                <wp:positionH relativeFrom="column">
                  <wp:posOffset>1895475</wp:posOffset>
                </wp:positionH>
                <wp:positionV relativeFrom="paragraph">
                  <wp:posOffset>184150</wp:posOffset>
                </wp:positionV>
                <wp:extent cx="1438275" cy="2857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143827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9.25pt;margin-top:14.5pt;height:2.25pt;width:113.25pt;z-index:251663360;mso-width-relative:page;mso-height-relative:page;" filled="f" stroked="t" coordsize="21600,21600" o:gfxdata="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bvUZ/XAAAACQEAAA8AAAAAAAAAAQAg&#10;AAAAIgAAAGRycy9kb3ducmV2LnhtbFBLAQIUABQAAAAIAIdO4kDh2gp+1gEAALgDAAAOAAAAAAAA&#10;AAEAIAAAACYBAABkcnMvZTJvRG9jLnhtbFBLBQYAAAAABgAGAFkBAABuBQAAAAA=&#10;">
                <v:fill on="f" focussize="0,0"/>
                <v:stroke weight="0.5pt" color="#000000 [3200]" miterlimit="8" joinstyle="miter"/>
                <v:imagedata o:title=""/>
                <o:lock v:ext="edit" aspectratio="f"/>
              </v:line>
            </w:pict>
          </mc:Fallback>
        </mc:AlternateContent>
      </w:r>
      <w:r>
        <w:rPr>
          <w:rFonts w:ascii="Times New Roman" w:hAnsi="Times New Roman" w:cs="Times New Roman"/>
          <w:sz w:val="28"/>
          <w:szCs w:val="28"/>
        </w:rPr>
        <w:t xml:space="preserve">BVPS =      </w:t>
      </w:r>
      <w:r>
        <w:rPr>
          <w:rFonts w:ascii="Times New Roman" w:hAnsi="Times New Roman" w:cs="Times New Roman"/>
        </w:rPr>
        <w:t>Total ekuitas</w:t>
      </w:r>
    </w:p>
    <w:p w14:paraId="1F62E0CA">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Jumlah saham beredar </w:t>
      </w:r>
    </w:p>
    <w:p w14:paraId="59BC6E59">
      <w:pPr>
        <w:pStyle w:val="31"/>
        <w:spacing w:line="240" w:lineRule="auto"/>
        <w:ind w:left="1800" w:firstLine="360"/>
        <w:jc w:val="both"/>
        <w:rPr>
          <w:rFonts w:ascii="Times New Roman" w:hAnsi="Times New Roman" w:cs="Times New Roman"/>
        </w:rPr>
      </w:pPr>
    </w:p>
    <w:p w14:paraId="23530B47">
      <w:pPr>
        <w:pStyle w:val="31"/>
        <w:numPr>
          <w:ilvl w:val="0"/>
          <w:numId w:val="4"/>
        </w:numPr>
        <w:spacing w:line="240" w:lineRule="auto"/>
        <w:jc w:val="both"/>
        <w:rPr>
          <w:rFonts w:ascii="Times New Roman" w:hAnsi="Times New Roman" w:cs="Times New Roman"/>
        </w:rPr>
      </w:pPr>
      <w:r>
        <w:rPr>
          <w:rFonts w:ascii="Times New Roman" w:hAnsi="Times New Roman" w:cs="Times New Roman"/>
        </w:rPr>
        <w:t>Dividend Yield</w:t>
      </w:r>
    </w:p>
    <w:p w14:paraId="6FB81396">
      <w:pPr>
        <w:pStyle w:val="31"/>
        <w:spacing w:line="240" w:lineRule="auto"/>
        <w:ind w:left="1800" w:firstLine="360"/>
        <w:jc w:val="both"/>
        <w:rPr>
          <w:rFonts w:ascii="Times New Roman" w:hAnsi="Times New Roman" w:cs="Times New Roman"/>
        </w:rPr>
      </w:pPr>
      <w:r>
        <w:rPr>
          <w:rFonts w:ascii="Times New Roman" w:hAnsi="Times New Roman" w:cs="Times New Roman"/>
        </w:rPr>
        <w:t>Dividend Yield menunjukkan imbal hasil yang diterima investor dari dividen relatif terhadap harga saham. Rasio ini berguna untuk menilai keuntungan cash-flow bagi pemegang saham, terutama bagi investor yang mencari pendapatan rutin dari dividen. Dividend Yield yang stabil atau meningkat menandakan perusahaan memiliki kebijakan dividen yang konsisten dan laba yang cukup untuk distribusi, sehingga dapat meningkatkan kepercayaan investor terhadap saham tersebut.</w:t>
      </w:r>
    </w:p>
    <w:p w14:paraId="74C2A903">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00A362DA">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w:t xml:space="preserve">Dividend Yield =    </w:t>
      </w:r>
      <w:r>
        <w:rPr>
          <w:rFonts w:ascii="Times New Roman" w:hAnsi="Times New Roman" w:cs="Times New Roman"/>
        </w:rPr>
        <w:t>Dividend per saham       x 100%</w:t>
      </w:r>
    </w:p>
    <w:p w14:paraId="3F8F73D0">
      <w:pPr>
        <w:pStyle w:val="31"/>
        <w:spacing w:line="240" w:lineRule="auto"/>
        <w:ind w:left="1800" w:firstLine="36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2552700</wp:posOffset>
                </wp:positionH>
                <wp:positionV relativeFrom="paragraph">
                  <wp:posOffset>6985</wp:posOffset>
                </wp:positionV>
                <wp:extent cx="1600200" cy="28575"/>
                <wp:effectExtent l="0" t="0" r="19050" b="28575"/>
                <wp:wrapNone/>
                <wp:docPr id="6" name="Straight Connector 6"/>
                <wp:cNvGraphicFramePr/>
                <a:graphic xmlns:a="http://schemas.openxmlformats.org/drawingml/2006/main">
                  <a:graphicData uri="http://schemas.microsoft.com/office/word/2010/wordprocessingShape">
                    <wps:wsp>
                      <wps:cNvCnPr/>
                      <wps:spPr>
                        <a:xfrm flipV="1">
                          <a:off x="0" y="0"/>
                          <a:ext cx="16002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01pt;margin-top:0.55pt;height:2.25pt;width:126pt;z-index:251664384;mso-width-relative:page;mso-height-relative:page;" filled="f" stroked="t" coordsize="21600,21600" o:gfxdata="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jCfKo1QAAAAcBAAAPAAAAAAAA&#10;AAEAIAAAACIAAABkcnMvZG93bnJldi54bWxQSwECFAAUAAAACACHTuJA7ZYBttwBAADCAwAADgAA&#10;AAAAAAABACAAAAAkAQAAZHJzL2Uyb0RvYy54bWxQSwUGAAAAAAYABgBZAQAAcgUAAAAA&#10;">
                <v:fill on="f" focussize="0,0"/>
                <v:stroke weight="0.5pt" color="#000000 [3200]" miterlimit="8" joinstyle="miter"/>
                <v:imagedata o:title=""/>
                <o:lock v:ext="edit" aspectratio="f"/>
              </v:line>
            </w:pict>
          </mc:Fallback>
        </mc:AlternateContent>
      </w:r>
      <w:r>
        <w:rPr>
          <w:rFonts w:ascii="Times New Roman" w:hAnsi="Times New Roman" w:cs="Times New Roman"/>
        </w:rPr>
        <w:t xml:space="preserve">                                  Harga saham per lembar</w:t>
      </w:r>
    </w:p>
    <w:p w14:paraId="6B9E165E">
      <w:pPr>
        <w:pStyle w:val="31"/>
        <w:spacing w:line="240" w:lineRule="auto"/>
        <w:ind w:left="1800" w:firstLine="360"/>
        <w:jc w:val="both"/>
        <w:rPr>
          <w:rFonts w:ascii="Times New Roman" w:hAnsi="Times New Roman" w:cs="Times New Roman"/>
        </w:rPr>
      </w:pPr>
    </w:p>
    <w:p w14:paraId="512232A4">
      <w:pPr>
        <w:pStyle w:val="31"/>
        <w:numPr>
          <w:ilvl w:val="1"/>
          <w:numId w:val="1"/>
        </w:numPr>
        <w:spacing w:line="240" w:lineRule="auto"/>
        <w:jc w:val="both"/>
        <w:rPr>
          <w:rFonts w:ascii="Times New Roman" w:hAnsi="Times New Roman" w:cs="Times New Roman"/>
          <w:i/>
          <w:iCs/>
        </w:rPr>
      </w:pPr>
      <w:r>
        <w:rPr>
          <w:rFonts w:ascii="Times New Roman" w:hAnsi="Times New Roman" w:cs="Times New Roman"/>
          <w:i/>
          <w:iCs/>
        </w:rPr>
        <w:t>Rasio Profitabilitas</w:t>
      </w:r>
    </w:p>
    <w:p w14:paraId="5ADF36C4">
      <w:pPr>
        <w:pStyle w:val="31"/>
        <w:spacing w:line="240" w:lineRule="auto"/>
        <w:ind w:left="1080"/>
        <w:jc w:val="both"/>
        <w:rPr>
          <w:rFonts w:ascii="Times New Roman" w:hAnsi="Times New Roman" w:cs="Times New Roman"/>
          <w:i/>
          <w:iCs/>
        </w:rPr>
      </w:pPr>
    </w:p>
    <w:p w14:paraId="6C511ADD">
      <w:pPr>
        <w:pStyle w:val="31"/>
        <w:spacing w:line="240" w:lineRule="auto"/>
        <w:ind w:left="1080" w:firstLine="360"/>
        <w:jc w:val="both"/>
        <w:rPr>
          <w:rFonts w:ascii="Times New Roman" w:hAnsi="Times New Roman" w:cs="Times New Roman"/>
        </w:rPr>
      </w:pPr>
      <w:r>
        <w:rPr>
          <w:rFonts w:ascii="Times New Roman" w:hAnsi="Times New Roman" w:cs="Times New Roman"/>
        </w:rPr>
        <w:t>Rasio profitabilitas adalah ukuran keuangan yang digunakan untuk menilai kemampuan perusahaan dalam menghasilkan laba dari seluruh sumber daya yang dimiliki, termasuk aset, modal, dan kegiatan operasionalnya (Damodaran, 2012; Reilly &amp; Brown, 2018). Rasio ini memberikan indikator penting mengenai efektivitas manajemen dalam mengelola biaya, memanfaatkan aset, serta mengoptimalkan kegiatan operasional untuk mencapai tujuan finansial perusahaan.</w:t>
      </w:r>
    </w:p>
    <w:p w14:paraId="08C04C33">
      <w:pPr>
        <w:pStyle w:val="31"/>
        <w:spacing w:line="240" w:lineRule="auto"/>
        <w:ind w:left="1080" w:firstLine="360"/>
        <w:jc w:val="both"/>
        <w:rPr>
          <w:rFonts w:ascii="Times New Roman" w:hAnsi="Times New Roman" w:cs="Times New Roman"/>
        </w:rPr>
      </w:pPr>
      <w:r>
        <w:rPr>
          <w:rFonts w:ascii="Times New Roman" w:hAnsi="Times New Roman" w:cs="Times New Roman"/>
        </w:rPr>
        <w:t>Secara umum, rasio profitabilitas mencerminkan tingkat efisiensi perusahaan dalam mengonversi penjualan menjadi laba bersih, penggunaan aset menjadi keuntungan, dan pengembalian modal pemegang saham. Rasio ini relevan bagi:</w:t>
      </w:r>
    </w:p>
    <w:p w14:paraId="2C033248">
      <w:pPr>
        <w:pStyle w:val="31"/>
        <w:spacing w:line="240" w:lineRule="auto"/>
        <w:ind w:left="1080" w:firstLine="360"/>
        <w:jc w:val="both"/>
        <w:rPr>
          <w:rFonts w:ascii="Times New Roman" w:hAnsi="Times New Roman" w:cs="Times New Roman"/>
        </w:rPr>
      </w:pPr>
    </w:p>
    <w:p w14:paraId="2308B942">
      <w:pPr>
        <w:pStyle w:val="31"/>
        <w:numPr>
          <w:ilvl w:val="0"/>
          <w:numId w:val="5"/>
        </w:numPr>
        <w:spacing w:line="240" w:lineRule="auto"/>
        <w:jc w:val="both"/>
        <w:rPr>
          <w:rFonts w:ascii="Times New Roman" w:hAnsi="Times New Roman" w:cs="Times New Roman"/>
        </w:rPr>
      </w:pPr>
      <w:r>
        <w:rPr>
          <w:rFonts w:ascii="Times New Roman" w:hAnsi="Times New Roman" w:cs="Times New Roman"/>
        </w:rPr>
        <w:t>Manajemen internal, untuk menilai kinerja operasional, efisiensi penggunaan aset, strategi pengendalian biaya, dan pengambilan keputusan investasi.</w:t>
      </w:r>
    </w:p>
    <w:p w14:paraId="1220FA5F">
      <w:pPr>
        <w:pStyle w:val="31"/>
        <w:numPr>
          <w:ilvl w:val="0"/>
          <w:numId w:val="5"/>
        </w:numPr>
        <w:spacing w:line="240" w:lineRule="auto"/>
        <w:jc w:val="both"/>
        <w:rPr>
          <w:rFonts w:ascii="Times New Roman" w:hAnsi="Times New Roman" w:cs="Times New Roman"/>
        </w:rPr>
      </w:pPr>
      <w:r>
        <w:rPr>
          <w:rFonts w:ascii="Times New Roman" w:hAnsi="Times New Roman" w:cs="Times New Roman"/>
        </w:rPr>
        <w:t>Investor dan kreditor, untuk mengevaluasi kelayakan investasi, risiko keuangan, serta potensi pengembalian modal.</w:t>
      </w:r>
    </w:p>
    <w:p w14:paraId="56D80637">
      <w:pPr>
        <w:spacing w:line="240" w:lineRule="auto"/>
        <w:ind w:left="1080" w:firstLine="360"/>
        <w:jc w:val="both"/>
        <w:rPr>
          <w:rFonts w:ascii="Times New Roman" w:hAnsi="Times New Roman" w:cs="Times New Roman"/>
        </w:rPr>
      </w:pPr>
      <w:r>
        <w:rPr>
          <w:rFonts w:ascii="Times New Roman" w:hAnsi="Times New Roman" w:cs="Times New Roman"/>
        </w:rPr>
        <w:t>Rasio profitabilitas biasanya diukur melalui beberapa indikator utama, yaitu: Net Profit Margin (NPM), Return on Assets (ROA), Return on Equity (ROE), Gross Profit Margin (GPM), dan Operating Profit Margin (OPM). Setiap rasio memberikan perspektif berbeda, namun saling melengkapi dalam menilai profitabilitas perusahaan secara menyeluruh.</w:t>
      </w:r>
    </w:p>
    <w:p w14:paraId="435EE4B5">
      <w:pPr>
        <w:pStyle w:val="31"/>
        <w:numPr>
          <w:ilvl w:val="0"/>
          <w:numId w:val="6"/>
        </w:numPr>
        <w:spacing w:line="240" w:lineRule="auto"/>
        <w:jc w:val="both"/>
        <w:rPr>
          <w:rFonts w:ascii="Times New Roman" w:hAnsi="Times New Roman" w:cs="Times New Roman"/>
        </w:rPr>
      </w:pPr>
      <w:r>
        <w:rPr>
          <w:rFonts w:ascii="Times New Roman" w:hAnsi="Times New Roman" w:cs="Times New Roman"/>
        </w:rPr>
        <w:t>Jenis-Jenis Rasio</w:t>
      </w:r>
    </w:p>
    <w:p w14:paraId="7B52BAF4">
      <w:pPr>
        <w:pStyle w:val="31"/>
        <w:numPr>
          <w:ilvl w:val="0"/>
          <w:numId w:val="7"/>
        </w:numPr>
        <w:spacing w:line="240" w:lineRule="auto"/>
        <w:jc w:val="both"/>
        <w:rPr>
          <w:rFonts w:ascii="Times New Roman" w:hAnsi="Times New Roman" w:cs="Times New Roman"/>
        </w:rPr>
      </w:pPr>
      <w:r>
        <w:rPr>
          <w:rFonts w:ascii="Times New Roman" w:hAnsi="Times New Roman" w:cs="Times New Roman"/>
        </w:rPr>
        <w:t>Net Profit Margin (NPM)</w:t>
      </w:r>
    </w:p>
    <w:p w14:paraId="189BCA20">
      <w:pPr>
        <w:pStyle w:val="31"/>
        <w:spacing w:line="240" w:lineRule="auto"/>
        <w:ind w:left="1800" w:firstLine="360"/>
        <w:jc w:val="both"/>
        <w:rPr>
          <w:rFonts w:ascii="Times New Roman" w:hAnsi="Times New Roman" w:cs="Times New Roman"/>
        </w:rPr>
      </w:pPr>
      <w:r>
        <w:rPr>
          <w:rFonts w:ascii="Times New Roman" w:hAnsi="Times New Roman" w:cs="Times New Roman"/>
        </w:rPr>
        <w:t>NPM adalah persentase laba bersih yang diperoleh perusahaan dari setiap unit penjualan, mencerminkan kemampuan perusahaan menghasilkan keuntungan setelah dikurangi semua biaya, termasuk biaya operasional, bunga, dan pajak (Titman et al., 2017). NPM tinggi menunjukkan kemampuan manajemen dalam mengendalikan biaya dan mengoptimalkan penjualan sehingga menghasilkan laba maksimal. NPM rendah menandakan efisiensi operasional yang kurang, biaya yang tinggi, atau harga jual yang tidak kompetitif.</w:t>
      </w:r>
    </w:p>
    <w:p w14:paraId="5D86B68B">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6B8550CF">
      <w:pPr>
        <w:pStyle w:val="31"/>
        <w:spacing w:line="240" w:lineRule="auto"/>
        <w:ind w:left="1800" w:firstLine="36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1895475</wp:posOffset>
                </wp:positionH>
                <wp:positionV relativeFrom="paragraph">
                  <wp:posOffset>194945</wp:posOffset>
                </wp:positionV>
                <wp:extent cx="1181100" cy="19050"/>
                <wp:effectExtent l="0" t="0" r="19050" b="19050"/>
                <wp:wrapNone/>
                <wp:docPr id="7" name="Straight Connector 7"/>
                <wp:cNvGraphicFramePr/>
                <a:graphic xmlns:a="http://schemas.openxmlformats.org/drawingml/2006/main">
                  <a:graphicData uri="http://schemas.microsoft.com/office/word/2010/wordprocessingShape">
                    <wps:wsp>
                      <wps:cNvCnPr/>
                      <wps:spPr>
                        <a:xfrm flipV="1">
                          <a:off x="0" y="0"/>
                          <a:ext cx="1181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9.25pt;margin-top:15.35pt;height:1.5pt;width:93pt;z-index:251665408;mso-width-relative:page;mso-height-relative:page;" filled="f" stroked="t" coordsize="21600,21600" o:gfxdata="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UP27itcAAAAJAQAADwAA&#10;AAAAAAABACAAAAAiAAAAZHJzL2Rvd25yZXYueG1sUEsBAhQAFAAAAAgAh07iQC6jQsHeAQAAwgMA&#10;AA4AAAAAAAAAAQAgAAAAJgEAAGRycy9lMm9Eb2MueG1sUEsFBgAAAAAGAAYAWQEAAHYFAAAAAA==&#10;">
                <v:fill on="f" focussize="0,0"/>
                <v:stroke weight="0.5pt" color="#000000 [3200]" miterlimit="8" joinstyle="miter"/>
                <v:imagedata o:title=""/>
                <o:lock v:ext="edit" aspectratio="f"/>
              </v:line>
            </w:pict>
          </mc:Fallback>
        </mc:AlternateContent>
      </w:r>
      <w:r>
        <w:rPr>
          <w:rFonts w:ascii="Times New Roman" w:hAnsi="Times New Roman" w:cs="Times New Roman"/>
          <w:sz w:val="28"/>
          <w:szCs w:val="28"/>
        </w:rPr>
        <w:t xml:space="preserve">NPM </w:t>
      </w:r>
      <w:r>
        <w:rPr>
          <w:rFonts w:ascii="Times New Roman" w:hAnsi="Times New Roman" w:cs="Times New Roman"/>
        </w:rPr>
        <w:t>=     Laba bersih            x 100%</w:t>
      </w:r>
    </w:p>
    <w:p w14:paraId="7AD1324B">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Penjualan bersih</w:t>
      </w:r>
    </w:p>
    <w:p w14:paraId="7DA04063">
      <w:pPr>
        <w:pStyle w:val="31"/>
        <w:spacing w:line="240" w:lineRule="auto"/>
        <w:ind w:left="1800" w:firstLine="360"/>
        <w:jc w:val="both"/>
        <w:rPr>
          <w:rFonts w:ascii="Times New Roman" w:hAnsi="Times New Roman" w:cs="Times New Roman"/>
        </w:rPr>
      </w:pPr>
    </w:p>
    <w:p w14:paraId="0E65FC34">
      <w:pPr>
        <w:pStyle w:val="31"/>
        <w:numPr>
          <w:ilvl w:val="0"/>
          <w:numId w:val="7"/>
        </w:numPr>
        <w:spacing w:line="240" w:lineRule="auto"/>
        <w:jc w:val="both"/>
        <w:rPr>
          <w:rFonts w:ascii="Times New Roman" w:hAnsi="Times New Roman" w:cs="Times New Roman"/>
        </w:rPr>
      </w:pPr>
      <w:r>
        <w:rPr>
          <w:rFonts w:ascii="Times New Roman" w:hAnsi="Times New Roman" w:cs="Times New Roman"/>
        </w:rPr>
        <w:t>Return On Assets (ROA)</w:t>
      </w:r>
    </w:p>
    <w:p w14:paraId="6BB03D1F">
      <w:pPr>
        <w:pStyle w:val="31"/>
        <w:spacing w:line="240" w:lineRule="auto"/>
        <w:ind w:left="1800" w:firstLine="360"/>
        <w:jc w:val="both"/>
        <w:rPr>
          <w:rFonts w:ascii="Times New Roman" w:hAnsi="Times New Roman" w:cs="Times New Roman"/>
        </w:rPr>
      </w:pPr>
      <w:r>
        <w:rPr>
          <w:rFonts w:ascii="Times New Roman" w:hAnsi="Times New Roman" w:cs="Times New Roman"/>
        </w:rPr>
        <w:t>ROA mengukur efektivitas perusahaan dalam menghasilkan laba dari seluruh aset yang dimiliki (Brigham &amp; Ehrhardt, 2020). Rasio ini menilai seberapa baik manajemen memanfaatkan aset untuk menciptakan keuntungan. ROA tinggi mencerminkan efisiensi penggunaan aset dan kemampuan manajemen dalam mengoptimalkan sumber daya. ROA rendah menunjukkan aset kurang produktif atau beban operasional tinggi.</w:t>
      </w:r>
    </w:p>
    <w:p w14:paraId="46BFE7F4">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5BF51E99">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mc:AlternateContent>
          <mc:Choice Requires="wps">
            <w:drawing>
              <wp:anchor distT="0" distB="0" distL="114300" distR="114300" simplePos="0" relativeHeight="251666432" behindDoc="0" locked="0" layoutInCell="1" allowOverlap="1">
                <wp:simplePos x="0" y="0"/>
                <wp:positionH relativeFrom="column">
                  <wp:posOffset>1905000</wp:posOffset>
                </wp:positionH>
                <wp:positionV relativeFrom="paragraph">
                  <wp:posOffset>200025</wp:posOffset>
                </wp:positionV>
                <wp:extent cx="847725" cy="0"/>
                <wp:effectExtent l="0" t="0" r="0" b="0"/>
                <wp:wrapNone/>
                <wp:docPr id="8" name="Straight Connector 8"/>
                <wp:cNvGraphicFramePr/>
                <a:graphic xmlns:a="http://schemas.openxmlformats.org/drawingml/2006/main">
                  <a:graphicData uri="http://schemas.microsoft.com/office/word/2010/wordprocessingShape">
                    <wps:wsp>
                      <wps:cNvCnPr/>
                      <wps:spPr>
                        <a:xfrm flipV="1">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50pt;margin-top:15.75pt;height:0pt;width:66.75pt;z-index:251666432;mso-width-relative:page;mso-height-relative:page;" filled="f" stroked="t" coordsize="21600,21600" o:gfxdata="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aAMitYAAAAJAQAADwAAAAAAAAAB&#10;ACAAAAAiAAAAZHJzL2Rvd25yZXYueG1sUEsBAhQAFAAAAAgAh07iQHWzrZDZAQAAvQMAAA4AAAAA&#10;AAAAAQAgAAAAJQEAAGRycy9lMm9Eb2MueG1sUEsFBgAAAAAGAAYAWQEAAHAFAAAAAA==&#10;">
                <v:fill on="f" focussize="0,0"/>
                <v:stroke weight="0.5pt" color="#000000 [3200]" miterlimit="8" joinstyle="miter"/>
                <v:imagedata o:title=""/>
                <o:lock v:ext="edit" aspectratio="f"/>
              </v:line>
            </w:pict>
          </mc:Fallback>
        </mc:AlternateContent>
      </w:r>
      <w:r>
        <w:rPr>
          <w:rFonts w:ascii="Times New Roman" w:hAnsi="Times New Roman" w:cs="Times New Roman"/>
          <w:sz w:val="28"/>
          <w:szCs w:val="28"/>
        </w:rPr>
        <w:t xml:space="preserve">ROA =  </w:t>
      </w:r>
      <w:r>
        <w:rPr>
          <w:rFonts w:ascii="Times New Roman" w:hAnsi="Times New Roman" w:cs="Times New Roman"/>
        </w:rPr>
        <w:t>Laba bersih    x 100%</w:t>
      </w:r>
    </w:p>
    <w:p w14:paraId="0C31BF2E">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Total aset </w:t>
      </w:r>
    </w:p>
    <w:p w14:paraId="1DAFA316">
      <w:pPr>
        <w:pStyle w:val="31"/>
        <w:spacing w:line="240" w:lineRule="auto"/>
        <w:ind w:left="1800" w:firstLine="360"/>
        <w:jc w:val="both"/>
        <w:rPr>
          <w:rFonts w:ascii="Times New Roman" w:hAnsi="Times New Roman" w:cs="Times New Roman"/>
        </w:rPr>
      </w:pPr>
    </w:p>
    <w:p w14:paraId="538E39A2">
      <w:pPr>
        <w:pStyle w:val="31"/>
        <w:numPr>
          <w:ilvl w:val="0"/>
          <w:numId w:val="7"/>
        </w:numPr>
        <w:spacing w:line="240" w:lineRule="auto"/>
        <w:jc w:val="both"/>
        <w:rPr>
          <w:rFonts w:ascii="Times New Roman" w:hAnsi="Times New Roman" w:cs="Times New Roman"/>
        </w:rPr>
      </w:pPr>
      <w:r>
        <w:rPr>
          <w:rFonts w:ascii="Times New Roman" w:hAnsi="Times New Roman" w:cs="Times New Roman"/>
        </w:rPr>
        <w:t>Return On Equity (ROE)</w:t>
      </w:r>
    </w:p>
    <w:p w14:paraId="267111BA">
      <w:pPr>
        <w:pStyle w:val="31"/>
        <w:spacing w:line="240" w:lineRule="auto"/>
        <w:ind w:left="1800" w:firstLine="360"/>
        <w:jc w:val="both"/>
        <w:rPr>
          <w:rFonts w:ascii="Times New Roman" w:hAnsi="Times New Roman" w:cs="Times New Roman"/>
        </w:rPr>
      </w:pPr>
      <w:r>
        <w:rPr>
          <w:rFonts w:ascii="Times New Roman" w:hAnsi="Times New Roman" w:cs="Times New Roman"/>
        </w:rPr>
        <w:t>ROE menilai pengembalian laba terhadap modal sendiri (ekuitas) pemegang saham (Damodaran, 2012). Rasio ini penting untuk menilai efektivitas perusahaan dalam memaksimalkan laba dari dana yang diinvestasikan oleh pemegang saham. ROE tinggi menandakan perusahaan mampu memaksimalkan laba dari ekuitas, memberikan sinyal positif bagi investor. ROE juga dapat meningkat akibat leverage tinggi, sehingga perlu dianalisis bersama struktur utang.</w:t>
      </w:r>
    </w:p>
    <w:p w14:paraId="7A1600B5">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1980221C">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mc:AlternateContent>
          <mc:Choice Requires="wps">
            <w:drawing>
              <wp:anchor distT="0" distB="0" distL="114300" distR="114300" simplePos="0" relativeHeight="251667456" behindDoc="0" locked="0" layoutInCell="1" allowOverlap="1">
                <wp:simplePos x="0" y="0"/>
                <wp:positionH relativeFrom="column">
                  <wp:posOffset>1838325</wp:posOffset>
                </wp:positionH>
                <wp:positionV relativeFrom="paragraph">
                  <wp:posOffset>182880</wp:posOffset>
                </wp:positionV>
                <wp:extent cx="1095375" cy="9525"/>
                <wp:effectExtent l="0" t="0" r="28575" b="28575"/>
                <wp:wrapNone/>
                <wp:docPr id="9" name="Straight Connector 9"/>
                <wp:cNvGraphicFramePr/>
                <a:graphic xmlns:a="http://schemas.openxmlformats.org/drawingml/2006/main">
                  <a:graphicData uri="http://schemas.microsoft.com/office/word/2010/wordprocessingShape">
                    <wps:wsp>
                      <wps:cNvCnPr/>
                      <wps:spPr>
                        <a:xfrm flipV="1">
                          <a:off x="0" y="0"/>
                          <a:ext cx="10953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4.75pt;margin-top:14.4pt;height:0.75pt;width:86.25pt;z-index:251667456;mso-width-relative:page;mso-height-relative:page;" filled="f" stroked="t" coordsize="21600,21600" o:gfxdata="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DafXWNcAAAAJAQAADwAA&#10;AAAAAAABACAAAAAiAAAAZHJzL2Rvd25yZXYueG1sUEsBAhQAFAAAAAgAh07iQKiFn43eAQAAwQMA&#10;AA4AAAAAAAAAAQAgAAAAJgEAAGRycy9lMm9Eb2MueG1sUEsFBgAAAAAGAAYAWQEAAHYFAAAAAA==&#10;">
                <v:fill on="f" focussize="0,0"/>
                <v:stroke weight="0.5pt" color="#000000 [3200]" miterlimit="8" joinstyle="miter"/>
                <v:imagedata o:title=""/>
                <o:lock v:ext="edit" aspectratio="f"/>
              </v:line>
            </w:pict>
          </mc:Fallback>
        </mc:AlternateContent>
      </w:r>
      <w:r>
        <w:rPr>
          <w:rFonts w:ascii="Times New Roman" w:hAnsi="Times New Roman" w:cs="Times New Roman"/>
          <w:sz w:val="28"/>
          <w:szCs w:val="28"/>
        </w:rPr>
        <w:t xml:space="preserve">ROE =  </w:t>
      </w:r>
      <w:r>
        <w:rPr>
          <w:rFonts w:ascii="Times New Roman" w:hAnsi="Times New Roman" w:cs="Times New Roman"/>
        </w:rPr>
        <w:t>Laba bersih           x 100%</w:t>
      </w:r>
    </w:p>
    <w:p w14:paraId="1D09AEA1">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Total ekuitas </w:t>
      </w:r>
    </w:p>
    <w:p w14:paraId="3538C048">
      <w:pPr>
        <w:pStyle w:val="31"/>
        <w:numPr>
          <w:ilvl w:val="0"/>
          <w:numId w:val="7"/>
        </w:numPr>
        <w:spacing w:line="240" w:lineRule="auto"/>
        <w:jc w:val="both"/>
        <w:rPr>
          <w:rFonts w:ascii="Times New Roman" w:hAnsi="Times New Roman" w:cs="Times New Roman"/>
        </w:rPr>
      </w:pPr>
      <w:r>
        <w:rPr>
          <w:rFonts w:ascii="Times New Roman" w:hAnsi="Times New Roman" w:cs="Times New Roman"/>
        </w:rPr>
        <w:t>Gross Profit Margin (GPM)</w:t>
      </w:r>
    </w:p>
    <w:p w14:paraId="6E2CE11B">
      <w:pPr>
        <w:pStyle w:val="31"/>
        <w:spacing w:line="240" w:lineRule="auto"/>
        <w:ind w:left="1800" w:firstLine="360"/>
        <w:jc w:val="both"/>
        <w:rPr>
          <w:rFonts w:ascii="Times New Roman" w:hAnsi="Times New Roman" w:cs="Times New Roman"/>
        </w:rPr>
      </w:pPr>
      <w:r>
        <w:rPr>
          <w:rFonts w:ascii="Times New Roman" w:hAnsi="Times New Roman" w:cs="Times New Roman"/>
        </w:rPr>
        <w:t>GPM menilai efisiensi perusahaan dalam menghasilkan laba dari penjualan sebelum dikurangi biaya operasional dan pajak(Reilly &amp; Brown, 2018). GPM tinggi menandakan kontrol biaya produksi baik dan harga jual produk kompetitif. GPM rendah dapat menunjukkan biaya produksi tinggi atau harga jual rendah.</w:t>
      </w:r>
    </w:p>
    <w:p w14:paraId="67A01DED">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48A833F1">
      <w:pPr>
        <w:pStyle w:val="31"/>
        <w:spacing w:line="240" w:lineRule="auto"/>
        <w:ind w:left="1800" w:firstLine="360"/>
        <w:jc w:val="both"/>
        <w:rPr>
          <w:rFonts w:ascii="Times New Roman" w:hAnsi="Times New Roman" w:cs="Times New Roman"/>
          <w:sz w:val="28"/>
          <w:szCs w:val="28"/>
        </w:rPr>
      </w:pPr>
      <w:r>
        <w:rPr>
          <w:rFonts w:ascii="Times New Roman" w:hAnsi="Times New Roman" w:cs="Times New Roman"/>
          <w:sz w:val="28"/>
          <w:szCs w:val="28"/>
        </w:rPr>
        <mc:AlternateContent>
          <mc:Choice Requires="wps">
            <w:drawing>
              <wp:anchor distT="0" distB="0" distL="114300" distR="114300" simplePos="0" relativeHeight="251668480" behindDoc="0" locked="0" layoutInCell="1" allowOverlap="1">
                <wp:simplePos x="0" y="0"/>
                <wp:positionH relativeFrom="column">
                  <wp:posOffset>1838325</wp:posOffset>
                </wp:positionH>
                <wp:positionV relativeFrom="paragraph">
                  <wp:posOffset>196215</wp:posOffset>
                </wp:positionV>
                <wp:extent cx="914400" cy="9525"/>
                <wp:effectExtent l="0" t="0" r="19050" b="28575"/>
                <wp:wrapNone/>
                <wp:docPr id="11" name="Straight Connector 11"/>
                <wp:cNvGraphicFramePr/>
                <a:graphic xmlns:a="http://schemas.openxmlformats.org/drawingml/2006/main">
                  <a:graphicData uri="http://schemas.microsoft.com/office/word/2010/wordprocessingShape">
                    <wps:wsp>
                      <wps:cNvCnPr/>
                      <wps:spPr>
                        <a:xfrm flipV="1">
                          <a:off x="0" y="0"/>
                          <a:ext cx="914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4.75pt;margin-top:15.45pt;height:0.75pt;width:72pt;z-index:251668480;mso-width-relative:page;mso-height-relative:page;" filled="f" stroked="t" coordsize="21600,21600" o:gfxdata="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hoJtYAAAAJAQAADwAAAAAA&#10;AAABACAAAAAiAAAAZHJzL2Rvd25yZXYueG1sUEsBAhQAFAAAAAgAh07iQFnSGT/cAQAAwgMAAA4A&#10;AAAAAAAAAQAgAAAAJQEAAGRycy9lMm9Eb2MueG1sUEsFBgAAAAAGAAYAWQEAAHMFAAAAAA==&#10;">
                <v:fill on="f" focussize="0,0"/>
                <v:stroke weight="0.5pt" color="#000000 [3200]" miterlimit="8" joinstyle="miter"/>
                <v:imagedata o:title=""/>
                <o:lock v:ext="edit" aspectratio="f"/>
              </v:line>
            </w:pict>
          </mc:Fallback>
        </mc:AlternateContent>
      </w:r>
      <w:r>
        <w:rPr>
          <w:rFonts w:ascii="Times New Roman" w:hAnsi="Times New Roman" w:cs="Times New Roman"/>
          <w:sz w:val="28"/>
          <w:szCs w:val="28"/>
        </w:rPr>
        <w:t xml:space="preserve">GPM =  </w:t>
      </w:r>
      <w:r>
        <w:rPr>
          <w:rFonts w:ascii="Times New Roman" w:hAnsi="Times New Roman" w:cs="Times New Roman"/>
        </w:rPr>
        <w:t>Laba kotor     x 100%</w:t>
      </w:r>
    </w:p>
    <w:p w14:paraId="63AE4549">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Pendapatan </w:t>
      </w:r>
    </w:p>
    <w:p w14:paraId="4BF936EC">
      <w:pPr>
        <w:pStyle w:val="31"/>
        <w:spacing w:line="240" w:lineRule="auto"/>
        <w:ind w:left="1800" w:firstLine="360"/>
        <w:jc w:val="both"/>
        <w:rPr>
          <w:rFonts w:ascii="Times New Roman" w:hAnsi="Times New Roman" w:cs="Times New Roman"/>
        </w:rPr>
      </w:pPr>
    </w:p>
    <w:p w14:paraId="64B6709D">
      <w:pPr>
        <w:pStyle w:val="31"/>
        <w:numPr>
          <w:ilvl w:val="0"/>
          <w:numId w:val="7"/>
        </w:numPr>
        <w:spacing w:line="240" w:lineRule="auto"/>
        <w:jc w:val="both"/>
        <w:rPr>
          <w:rFonts w:ascii="Times New Roman" w:hAnsi="Times New Roman" w:cs="Times New Roman"/>
        </w:rPr>
      </w:pPr>
      <w:r>
        <w:rPr>
          <w:rFonts w:ascii="Times New Roman" w:hAnsi="Times New Roman" w:cs="Times New Roman"/>
        </w:rPr>
        <w:t>Operating Profit Margin (OPM)</w:t>
      </w:r>
    </w:p>
    <w:p w14:paraId="7E202185">
      <w:pPr>
        <w:pStyle w:val="31"/>
        <w:spacing w:line="240" w:lineRule="auto"/>
        <w:ind w:left="1800" w:firstLine="360"/>
        <w:jc w:val="both"/>
        <w:rPr>
          <w:rFonts w:ascii="Times New Roman" w:hAnsi="Times New Roman" w:cs="Times New Roman"/>
        </w:rPr>
      </w:pPr>
      <w:r>
        <w:rPr>
          <w:rFonts w:ascii="Times New Roman" w:hAnsi="Times New Roman" w:cs="Times New Roman"/>
        </w:rPr>
        <w:t>OPM mengukur profitabilitas dari kegiatan operasional inti perusahaan, tanpa memperhitungkan pendapatan atau beban non-operasional. Rasio ini membantu menilai kemampuan manajemen dalam mengoptimalkan kegiatan inti perusahaan untuk menghasilkan laba. OPM tinggi menunjukkan manajemen efektif dalam mengoptimalkan operasi inti. OPM rendah mengindikasikan biaya operasional inti tinggi atau efisiensi rendah.</w:t>
      </w:r>
    </w:p>
    <w:p w14:paraId="48914FD9">
      <w:pPr>
        <w:pStyle w:val="31"/>
        <w:spacing w:line="240" w:lineRule="auto"/>
        <w:ind w:left="1800" w:firstLine="360"/>
        <w:jc w:val="both"/>
        <w:rPr>
          <w:rFonts w:ascii="Times New Roman" w:hAnsi="Times New Roman" w:cs="Times New Roman"/>
        </w:rPr>
      </w:pPr>
      <w:r>
        <w:rPr>
          <w:rFonts w:ascii="Times New Roman" w:hAnsi="Times New Roman" w:cs="Times New Roman"/>
        </w:rPr>
        <w:t>Rumus:</w:t>
      </w:r>
    </w:p>
    <w:p w14:paraId="47AB3A0B">
      <w:pPr>
        <w:pStyle w:val="31"/>
        <w:spacing w:line="240" w:lineRule="auto"/>
        <w:ind w:left="1800" w:firstLine="360"/>
        <w:jc w:val="both"/>
        <w:rPr>
          <w:rFonts w:ascii="Times New Roman" w:hAnsi="Times New Roman" w:cs="Times New Roman"/>
        </w:rPr>
      </w:pPr>
      <w:r>
        <w:rPr>
          <w:rFonts w:ascii="Times New Roman" w:hAnsi="Times New Roman" w:cs="Times New Roman"/>
          <w:sz w:val="28"/>
          <w:szCs w:val="28"/>
        </w:rPr>
        <mc:AlternateContent>
          <mc:Choice Requires="wps">
            <w:drawing>
              <wp:anchor distT="0" distB="0" distL="114300" distR="114300" simplePos="0" relativeHeight="251669504" behindDoc="0" locked="0" layoutInCell="1" allowOverlap="1">
                <wp:simplePos x="0" y="0"/>
                <wp:positionH relativeFrom="column">
                  <wp:posOffset>1866900</wp:posOffset>
                </wp:positionH>
                <wp:positionV relativeFrom="paragraph">
                  <wp:posOffset>195580</wp:posOffset>
                </wp:positionV>
                <wp:extent cx="12763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12763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7pt;margin-top:15.4pt;height:0.75pt;width:100.5pt;z-index:251669504;mso-width-relative:page;mso-height-relative:page;" filled="f" stroked="t" coordsize="21600,21600" o:gfxdata="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wLn461gAAAAkBAAAPAAAAAAAA&#10;AAEAIAAAACIAAABkcnMvZG93bnJldi54bWxQSwECFAAUAAAACACHTuJAJHpox9sBAADDAwAADgAA&#10;AAAAAAABACAAAAAlAQAAZHJzL2Uyb0RvYy54bWxQSwUGAAAAAAYABgBZAQAAcgUAAAAA&#10;">
                <v:fill on="f" focussize="0,0"/>
                <v:stroke weight="0.5pt" color="#000000 [3200]" miterlimit="8" joinstyle="miter"/>
                <v:imagedata o:title=""/>
                <o:lock v:ext="edit" aspectratio="f"/>
              </v:line>
            </w:pict>
          </mc:Fallback>
        </mc:AlternateContent>
      </w:r>
      <w:r>
        <w:rPr>
          <w:rFonts w:ascii="Times New Roman" w:hAnsi="Times New Roman" w:cs="Times New Roman"/>
          <w:sz w:val="28"/>
          <w:szCs w:val="28"/>
        </w:rPr>
        <w:t xml:space="preserve">OPM =  </w:t>
      </w:r>
      <w:r>
        <w:rPr>
          <w:rFonts w:ascii="Times New Roman" w:hAnsi="Times New Roman" w:cs="Times New Roman"/>
        </w:rPr>
        <w:t>Laba operasional     x 100%</w:t>
      </w:r>
    </w:p>
    <w:p w14:paraId="379AE611">
      <w:pPr>
        <w:pStyle w:val="31"/>
        <w:spacing w:line="240" w:lineRule="auto"/>
        <w:ind w:left="1800" w:firstLine="360"/>
        <w:jc w:val="both"/>
        <w:rPr>
          <w:rFonts w:ascii="Times New Roman" w:hAnsi="Times New Roman" w:cs="Times New Roman"/>
        </w:rPr>
      </w:pPr>
      <w:r>
        <w:rPr>
          <w:rFonts w:ascii="Times New Roman" w:hAnsi="Times New Roman" w:cs="Times New Roman"/>
        </w:rPr>
        <w:t xml:space="preserve">                Penjualan bersih</w:t>
      </w:r>
    </w:p>
    <w:p w14:paraId="0FEA4AA2">
      <w:pPr>
        <w:pStyle w:val="31"/>
        <w:spacing w:line="240" w:lineRule="auto"/>
        <w:ind w:left="1800" w:firstLine="360"/>
        <w:jc w:val="both"/>
        <w:rPr>
          <w:rFonts w:ascii="Times New Roman" w:hAnsi="Times New Roman" w:cs="Times New Roman"/>
        </w:rPr>
      </w:pPr>
    </w:p>
    <w:p w14:paraId="073FBBE1">
      <w:pPr>
        <w:pStyle w:val="31"/>
        <w:numPr>
          <w:ilvl w:val="0"/>
          <w:numId w:val="6"/>
        </w:numPr>
        <w:spacing w:line="240" w:lineRule="auto"/>
        <w:jc w:val="both"/>
        <w:rPr>
          <w:rFonts w:ascii="Times New Roman" w:hAnsi="Times New Roman" w:cs="Times New Roman"/>
        </w:rPr>
      </w:pPr>
      <w:r>
        <w:rPr>
          <w:rFonts w:ascii="Times New Roman" w:hAnsi="Times New Roman" w:cs="Times New Roman"/>
        </w:rPr>
        <w:t>Perbedaan ROA, ROE, dan NPM</w:t>
      </w:r>
    </w:p>
    <w:p w14:paraId="0E18ABAA">
      <w:pPr>
        <w:pStyle w:val="31"/>
        <w:spacing w:line="240" w:lineRule="auto"/>
        <w:ind w:left="1440"/>
        <w:jc w:val="both"/>
        <w:rPr>
          <w:rFonts w:ascii="Times New Roman" w:hAnsi="Times New Roman" w:cs="Times New Roman"/>
        </w:rPr>
      </w:pPr>
    </w:p>
    <w:p w14:paraId="702CC557">
      <w:pPr>
        <w:pStyle w:val="31"/>
        <w:numPr>
          <w:ilvl w:val="0"/>
          <w:numId w:val="8"/>
        </w:numPr>
        <w:spacing w:line="240" w:lineRule="auto"/>
        <w:jc w:val="both"/>
        <w:rPr>
          <w:rFonts w:ascii="Times New Roman" w:hAnsi="Times New Roman" w:cs="Times New Roman"/>
        </w:rPr>
      </w:pPr>
      <w:r>
        <w:rPr>
          <w:rFonts w:ascii="Times New Roman" w:hAnsi="Times New Roman" w:cs="Times New Roman"/>
        </w:rPr>
        <w:t>Return on Assets (ROA)</w:t>
      </w:r>
    </w:p>
    <w:p w14:paraId="2CE7D1F1">
      <w:pPr>
        <w:pStyle w:val="31"/>
        <w:spacing w:line="240" w:lineRule="auto"/>
        <w:ind w:left="1800" w:firstLine="360"/>
        <w:jc w:val="both"/>
        <w:rPr>
          <w:rFonts w:ascii="Times New Roman" w:hAnsi="Times New Roman" w:cs="Times New Roman"/>
        </w:rPr>
      </w:pPr>
      <w:r>
        <w:rPr>
          <w:rFonts w:ascii="Times New Roman" w:hAnsi="Times New Roman" w:cs="Times New Roman"/>
        </w:rPr>
        <w:t>ROA adalah rasio yang mengukur kemampuan perusahaan dalam menghasilkan laba dari seluruh aset yang dimiliki. Rasio ini menilai efisiensi penggunaan aset dalam operasi perusahaan. ROA yang tinggi menunjukkan bahwa aset perusahaan dimanfaatkan secara efektif untuk menghasilkan keuntungan, sedangkan ROA rendah mengindikasikan penggunaan aset yang kurang produktif. ROA membantu manajemen dan investor menilai potensi efisiensi dan kinerja operasional perusahaan.</w:t>
      </w:r>
    </w:p>
    <w:p w14:paraId="4A57E3CB">
      <w:pPr>
        <w:pStyle w:val="31"/>
        <w:spacing w:line="240" w:lineRule="auto"/>
        <w:ind w:left="1800" w:firstLine="360"/>
        <w:jc w:val="both"/>
        <w:rPr>
          <w:rFonts w:ascii="Times New Roman" w:hAnsi="Times New Roman" w:cs="Times New Roman"/>
        </w:rPr>
      </w:pPr>
    </w:p>
    <w:p w14:paraId="6859E802">
      <w:pPr>
        <w:pStyle w:val="31"/>
        <w:numPr>
          <w:ilvl w:val="0"/>
          <w:numId w:val="8"/>
        </w:numPr>
        <w:spacing w:line="240" w:lineRule="auto"/>
        <w:jc w:val="both"/>
        <w:rPr>
          <w:rFonts w:ascii="Times New Roman" w:hAnsi="Times New Roman" w:cs="Times New Roman"/>
        </w:rPr>
      </w:pPr>
      <w:r>
        <w:rPr>
          <w:rFonts w:ascii="Times New Roman" w:hAnsi="Times New Roman" w:cs="Times New Roman"/>
        </w:rPr>
        <w:t>Return on Equity (ROE)</w:t>
      </w:r>
    </w:p>
    <w:p w14:paraId="052D92A6">
      <w:pPr>
        <w:pStyle w:val="31"/>
        <w:spacing w:line="240" w:lineRule="auto"/>
        <w:ind w:left="1800" w:firstLine="360"/>
        <w:jc w:val="both"/>
        <w:rPr>
          <w:rFonts w:ascii="Times New Roman" w:hAnsi="Times New Roman" w:cs="Times New Roman"/>
        </w:rPr>
      </w:pPr>
      <w:r>
        <w:rPr>
          <w:rFonts w:ascii="Times New Roman" w:hAnsi="Times New Roman" w:cs="Times New Roman"/>
        </w:rPr>
        <w:t>ROE mengukur tingkat pengembalian laba dari modal sendiri (ekuitas) pemegang saham. Rasio ini menilai profitabilitas dari dana yang diinvestasikan pemegang saham. ROE tinggi mencerminkan kemampuan perusahaan dalam memaksimalkan laba dari modal sendiri, namun ROE yang tinggi juga dapat dipengaruhi oleh tingkat utang (leverage) yang tinggi. Analisis ROE bersamaan dengan struktur utang memberikan gambaran lengkap tentang risiko dan profitabilitas investasi.</w:t>
      </w:r>
    </w:p>
    <w:p w14:paraId="48B42A41">
      <w:pPr>
        <w:pStyle w:val="31"/>
        <w:spacing w:line="240" w:lineRule="auto"/>
        <w:ind w:left="1800" w:firstLine="360"/>
        <w:jc w:val="both"/>
        <w:rPr>
          <w:rFonts w:ascii="Times New Roman" w:hAnsi="Times New Roman" w:cs="Times New Roman"/>
        </w:rPr>
      </w:pPr>
    </w:p>
    <w:p w14:paraId="3C8179D0">
      <w:pPr>
        <w:pStyle w:val="31"/>
        <w:numPr>
          <w:ilvl w:val="0"/>
          <w:numId w:val="8"/>
        </w:numPr>
        <w:spacing w:line="240" w:lineRule="auto"/>
        <w:jc w:val="both"/>
        <w:rPr>
          <w:rFonts w:ascii="Times New Roman" w:hAnsi="Times New Roman" w:cs="Times New Roman"/>
        </w:rPr>
      </w:pPr>
      <w:r>
        <w:rPr>
          <w:rFonts w:ascii="Times New Roman" w:hAnsi="Times New Roman" w:cs="Times New Roman"/>
        </w:rPr>
        <w:t>Net Profit Margin (NPM)</w:t>
      </w:r>
    </w:p>
    <w:p w14:paraId="7D7A2FCB">
      <w:pPr>
        <w:pStyle w:val="31"/>
        <w:spacing w:line="240" w:lineRule="auto"/>
        <w:ind w:left="1800" w:firstLine="360"/>
        <w:jc w:val="both"/>
        <w:rPr>
          <w:rFonts w:ascii="Times New Roman" w:hAnsi="Times New Roman" w:cs="Times New Roman"/>
        </w:rPr>
      </w:pPr>
      <w:r>
        <w:rPr>
          <w:rFonts w:ascii="Times New Roman" w:hAnsi="Times New Roman" w:cs="Times New Roman"/>
        </w:rPr>
        <w:t>NPM adalah rasio yang menunjukkan persentase laba bersih dari penjualan bersih, yang mencerminkan efisiensi operasional perusahaan dalam mengelola biaya dan pendapatan. NPM tinggi menunjukkan perusahaan mampu mengendalikan biaya dan memaksimalkan margin laba, sedangkan NPM rendah dapat menandakan biaya yang tinggi atau manajemen penjualan yang kurang optimal.</w:t>
      </w:r>
    </w:p>
    <w:p w14:paraId="1EBC7F6B">
      <w:pPr>
        <w:pStyle w:val="31"/>
        <w:spacing w:line="240" w:lineRule="auto"/>
        <w:ind w:left="1800" w:firstLine="360"/>
        <w:jc w:val="both"/>
        <w:rPr>
          <w:rFonts w:ascii="Times New Roman" w:hAnsi="Times New Roman" w:cs="Times New Roman"/>
        </w:rPr>
      </w:pPr>
    </w:p>
    <w:p w14:paraId="33B501E5">
      <w:pPr>
        <w:pStyle w:val="31"/>
        <w:spacing w:line="240" w:lineRule="auto"/>
        <w:ind w:left="1800" w:firstLine="360"/>
        <w:jc w:val="both"/>
        <w:rPr>
          <w:rFonts w:ascii="Times New Roman" w:hAnsi="Times New Roman" w:cs="Times New Roman"/>
        </w:rPr>
      </w:pPr>
    </w:p>
    <w:p w14:paraId="0BE36F45">
      <w:pPr>
        <w:pStyle w:val="31"/>
        <w:numPr>
          <w:ilvl w:val="1"/>
          <w:numId w:val="1"/>
        </w:numPr>
        <w:spacing w:line="240" w:lineRule="auto"/>
        <w:jc w:val="both"/>
        <w:rPr>
          <w:rFonts w:ascii="Times New Roman" w:hAnsi="Times New Roman" w:cs="Times New Roman"/>
          <w:i/>
          <w:iCs/>
        </w:rPr>
      </w:pPr>
      <w:r>
        <w:rPr>
          <w:rFonts w:ascii="Times New Roman" w:hAnsi="Times New Roman" w:cs="Times New Roman"/>
          <w:i/>
          <w:iCs/>
        </w:rPr>
        <w:t>Rasio Manajemen Utang</w:t>
      </w:r>
    </w:p>
    <w:p w14:paraId="453AEABF">
      <w:pPr>
        <w:pStyle w:val="31"/>
        <w:spacing w:line="240" w:lineRule="auto"/>
        <w:ind w:left="1080"/>
        <w:jc w:val="both"/>
        <w:rPr>
          <w:rFonts w:ascii="Times New Roman" w:hAnsi="Times New Roman" w:cs="Times New Roman"/>
        </w:rPr>
      </w:pPr>
    </w:p>
    <w:p w14:paraId="7513ABF1">
      <w:pPr>
        <w:pStyle w:val="31"/>
        <w:spacing w:line="240" w:lineRule="auto"/>
        <w:ind w:left="1080" w:firstLine="360"/>
        <w:jc w:val="both"/>
        <w:rPr>
          <w:rFonts w:ascii="Times New Roman" w:hAnsi="Times New Roman" w:cs="Times New Roman"/>
        </w:rPr>
      </w:pPr>
      <w:r>
        <w:rPr>
          <w:rFonts w:ascii="Times New Roman" w:hAnsi="Times New Roman" w:cs="Times New Roman"/>
        </w:rPr>
        <w:t>Rasio manajemen utang adalah indikator keuangan yang digunakan untuk menilai proporsi utang dalam struktur pembiayaan perusahaan serta kemampuan perusahaan dalam memenuhi kewajiban utangnya (Brigham &amp; Houston, 2019; Damodaran, 2012). Rasio ini sangat penting untuk menilai risiko keuangan, kesehatan struktur modal, dan kapasitas perusahaan untuk menanggung beban hutang. Rasio manajemen utang membantu:</w:t>
      </w:r>
    </w:p>
    <w:p w14:paraId="4911CE1B">
      <w:pPr>
        <w:pStyle w:val="31"/>
        <w:spacing w:line="240" w:lineRule="auto"/>
        <w:ind w:left="1080" w:firstLine="360"/>
        <w:jc w:val="both"/>
        <w:rPr>
          <w:rFonts w:ascii="Times New Roman" w:hAnsi="Times New Roman" w:cs="Times New Roman"/>
        </w:rPr>
      </w:pPr>
    </w:p>
    <w:p w14:paraId="726FCDB5">
      <w:pPr>
        <w:pStyle w:val="31"/>
        <w:numPr>
          <w:ilvl w:val="0"/>
          <w:numId w:val="9"/>
        </w:numPr>
        <w:spacing w:line="240" w:lineRule="auto"/>
        <w:jc w:val="both"/>
        <w:rPr>
          <w:rFonts w:ascii="Times New Roman" w:hAnsi="Times New Roman" w:cs="Times New Roman"/>
        </w:rPr>
      </w:pPr>
      <w:r>
        <w:rPr>
          <w:rFonts w:ascii="Times New Roman" w:hAnsi="Times New Roman" w:cs="Times New Roman"/>
        </w:rPr>
        <w:t>Manajemen internal: menentukan strategi pembiayaan, mengelola risiko likuiditas, dan menjaga solvabilitas perusahaan.</w:t>
      </w:r>
    </w:p>
    <w:p w14:paraId="2568CD58">
      <w:pPr>
        <w:pStyle w:val="31"/>
        <w:numPr>
          <w:ilvl w:val="0"/>
          <w:numId w:val="9"/>
        </w:numPr>
        <w:spacing w:line="240" w:lineRule="auto"/>
        <w:jc w:val="both"/>
        <w:rPr>
          <w:rFonts w:ascii="Times New Roman" w:hAnsi="Times New Roman" w:cs="Times New Roman"/>
        </w:rPr>
      </w:pPr>
      <w:r>
        <w:rPr>
          <w:rFonts w:ascii="Times New Roman" w:hAnsi="Times New Roman" w:cs="Times New Roman"/>
        </w:rPr>
        <w:t>Investor dan kreditor: mengevaluasi kemampuan perusahaan membayar kewajiban, memprediksi risiko gagal bayar, dan menilai kelayakan investasi jangka panjang.</w:t>
      </w:r>
    </w:p>
    <w:p w14:paraId="7F1218C9">
      <w:pPr>
        <w:spacing w:line="240" w:lineRule="auto"/>
        <w:ind w:left="1080" w:firstLine="360"/>
        <w:jc w:val="both"/>
        <w:rPr>
          <w:rFonts w:ascii="Times New Roman" w:hAnsi="Times New Roman" w:cs="Times New Roman"/>
        </w:rPr>
      </w:pPr>
      <w:r>
        <w:rPr>
          <w:rFonts w:ascii="Times New Roman" w:hAnsi="Times New Roman" w:cs="Times New Roman"/>
        </w:rPr>
        <w:t>Beberapa rasio utama yang digunakan untuk menilai manajemen utang antara lain: Debt-to-Assets Ratio (DAR), Debt-to-Equity Ratio (DER), Debt-to-Capital Ratio (DCR), Debt-to-EBITDA, dan Times Interest Earned (Interest Coverage Ratio).</w:t>
      </w:r>
    </w:p>
    <w:p w14:paraId="5C161FDE">
      <w:pPr>
        <w:spacing w:line="240" w:lineRule="auto"/>
        <w:ind w:left="360" w:firstLine="720"/>
        <w:jc w:val="both"/>
        <w:rPr>
          <w:rFonts w:ascii="Times New Roman" w:hAnsi="Times New Roman" w:cs="Times New Roman"/>
        </w:rPr>
      </w:pPr>
      <w:r>
        <w:rPr>
          <w:rFonts w:ascii="Times New Roman" w:hAnsi="Times New Roman" w:cs="Times New Roman"/>
        </w:rPr>
        <w:t>Berikut rasio utang yang umum digunakan:</w:t>
      </w:r>
    </w:p>
    <w:p w14:paraId="240A4280">
      <w:pPr>
        <w:pStyle w:val="31"/>
        <w:numPr>
          <w:ilvl w:val="0"/>
          <w:numId w:val="10"/>
        </w:numPr>
        <w:spacing w:line="240" w:lineRule="auto"/>
        <w:jc w:val="both"/>
        <w:rPr>
          <w:rFonts w:ascii="Times New Roman" w:hAnsi="Times New Roman" w:cs="Times New Roman"/>
        </w:rPr>
      </w:pPr>
      <w:r>
        <w:rPr>
          <w:rFonts w:ascii="Times New Roman" w:hAnsi="Times New Roman" w:cs="Times New Roman"/>
        </w:rPr>
        <w:t>Debt-to-Assets Ratio (DAR)</w:t>
      </w:r>
    </w:p>
    <w:p w14:paraId="28BAD83E">
      <w:pPr>
        <w:pStyle w:val="31"/>
        <w:spacing w:line="240" w:lineRule="auto"/>
        <w:ind w:left="1440" w:firstLine="720"/>
        <w:jc w:val="both"/>
        <w:rPr>
          <w:rFonts w:ascii="Times New Roman" w:hAnsi="Times New Roman" w:cs="Times New Roman"/>
        </w:rPr>
      </w:pPr>
      <w:r>
        <w:rPr>
          <w:rFonts w:ascii="Times New Roman" w:hAnsi="Times New Roman" w:cs="Times New Roman"/>
        </w:rPr>
        <w:t>DAR mengukur proporsi total aset perusahaan yang dibiayai oleh utang. Rasio ini menilai sejauh mana perusahaan bergantung pada utang untuk membiayai kegiatan operasional dan investasinya (Gitman &amp; Zutter, 2015). Rasio DAR tinggi menunjukkan ketergantungan perusahaan pada utang untuk membiayai asetnya, yang dapat meningkatkan risiko keuangan. Rasio rendah menunjukkan perusahaan lebih mandiri secara finansial.</w:t>
      </w:r>
    </w:p>
    <w:p w14:paraId="374F4EC7">
      <w:pPr>
        <w:pStyle w:val="31"/>
        <w:spacing w:line="240" w:lineRule="auto"/>
        <w:ind w:left="1440" w:firstLine="720"/>
        <w:jc w:val="both"/>
        <w:rPr>
          <w:rFonts w:ascii="Times New Roman" w:hAnsi="Times New Roman" w:cs="Times New Roman"/>
        </w:rPr>
      </w:pPr>
      <w:r>
        <w:rPr>
          <w:rFonts w:ascii="Times New Roman" w:hAnsi="Times New Roman" w:cs="Times New Roman"/>
        </w:rPr>
        <w:t>Rumus:</w:t>
      </w:r>
    </w:p>
    <w:p w14:paraId="6D491E2D">
      <w:pPr>
        <w:pStyle w:val="31"/>
        <w:spacing w:line="240" w:lineRule="auto"/>
        <w:ind w:left="1440" w:firstLine="720"/>
        <w:jc w:val="both"/>
        <w:rPr>
          <w:rFonts w:ascii="Times New Roman" w:hAnsi="Times New Roman" w:cs="Times New Roman"/>
        </w:rPr>
      </w:pPr>
      <w:r>
        <w:rPr>
          <w:rFonts w:ascii="Times New Roman" w:hAnsi="Times New Roman" w:cs="Times New Roman"/>
        </w:rPr>
        <w:t>DAR =  Total utang      x 100%</w:t>
      </w:r>
    </w:p>
    <w:p w14:paraId="66E1B853">
      <w:pPr>
        <w:pStyle w:val="31"/>
        <w:spacing w:line="240" w:lineRule="auto"/>
        <w:ind w:left="1440" w:firstLine="72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70528" behindDoc="0" locked="0" layoutInCell="1" allowOverlap="1">
                <wp:simplePos x="0" y="0"/>
                <wp:positionH relativeFrom="column">
                  <wp:posOffset>1742440</wp:posOffset>
                </wp:positionH>
                <wp:positionV relativeFrom="paragraph">
                  <wp:posOffset>9525</wp:posOffset>
                </wp:positionV>
                <wp:extent cx="962025" cy="9525"/>
                <wp:effectExtent l="0" t="0" r="28575" b="28575"/>
                <wp:wrapNone/>
                <wp:docPr id="13" name="Straight Connector 13"/>
                <wp:cNvGraphicFramePr/>
                <a:graphic xmlns:a="http://schemas.openxmlformats.org/drawingml/2006/main">
                  <a:graphicData uri="http://schemas.microsoft.com/office/word/2010/wordprocessingShape">
                    <wps:wsp>
                      <wps:cNvCnPr/>
                      <wps:spPr>
                        <a:xfrm flipV="1">
                          <a:off x="0" y="0"/>
                          <a:ext cx="9620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37.2pt;margin-top:0.75pt;height:0.75pt;width:75.75pt;z-index:251670528;mso-width-relative:page;mso-height-relative:page;" filled="f" stroked="t" coordsize="21600,21600" o:gfxdata="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mALLtUAAAAHAQAADwAAAAAA&#10;AAABACAAAAAiAAAAZHJzL2Rvd25yZXYueG1sUEsBAhQAFAAAAAgAh07iQMdjDlfdAQAAwgMAAA4A&#10;AAAAAAAAAQAgAAAAJAEAAGRycy9lMm9Eb2MueG1sUEsFBgAAAAAGAAYAWQEAAHMFAAAAAA==&#10;">
                <v:fill on="f" focussize="0,0"/>
                <v:stroke weight="0.5pt" color="#000000 [3200]" miterlimit="8" joinstyle="miter"/>
                <v:imagedata o:title=""/>
                <o:lock v:ext="edit" aspectratio="f"/>
              </v:line>
            </w:pict>
          </mc:Fallback>
        </mc:AlternateContent>
      </w:r>
      <w:r>
        <w:rPr>
          <w:rFonts w:ascii="Times New Roman" w:hAnsi="Times New Roman" w:cs="Times New Roman"/>
        </w:rPr>
        <w:t xml:space="preserve">              Total aset</w:t>
      </w:r>
    </w:p>
    <w:p w14:paraId="340E882C">
      <w:pPr>
        <w:pStyle w:val="31"/>
        <w:spacing w:line="240" w:lineRule="auto"/>
        <w:ind w:left="1440" w:firstLine="720"/>
        <w:jc w:val="both"/>
        <w:rPr>
          <w:rFonts w:ascii="Times New Roman" w:hAnsi="Times New Roman" w:cs="Times New Roman"/>
        </w:rPr>
      </w:pPr>
    </w:p>
    <w:p w14:paraId="68DC7859">
      <w:pPr>
        <w:pStyle w:val="31"/>
        <w:numPr>
          <w:ilvl w:val="0"/>
          <w:numId w:val="10"/>
        </w:numPr>
        <w:spacing w:line="240" w:lineRule="auto"/>
        <w:jc w:val="both"/>
        <w:rPr>
          <w:rFonts w:ascii="Times New Roman" w:hAnsi="Times New Roman" w:cs="Times New Roman"/>
        </w:rPr>
      </w:pPr>
      <w:r>
        <w:rPr>
          <w:rFonts w:ascii="Times New Roman" w:hAnsi="Times New Roman" w:cs="Times New Roman"/>
        </w:rPr>
        <w:t>Debt-to-Equity Ratio (DER)</w:t>
      </w:r>
    </w:p>
    <w:p w14:paraId="126BEEB3">
      <w:pPr>
        <w:pStyle w:val="31"/>
        <w:spacing w:line="240" w:lineRule="auto"/>
        <w:ind w:left="1440" w:firstLine="720"/>
        <w:jc w:val="both"/>
        <w:rPr>
          <w:rFonts w:ascii="Times New Roman" w:hAnsi="Times New Roman" w:cs="Times New Roman"/>
        </w:rPr>
      </w:pPr>
      <w:r>
        <w:rPr>
          <w:rFonts w:ascii="Times New Roman" w:hAnsi="Times New Roman" w:cs="Times New Roman"/>
        </w:rPr>
        <w:t>DER mengukur perbandingan antara total utang dan modal sendiri (ekuitas). Rasio ini menunjukkan proporsi pembiayaan eksternal dibanding internal (Brigham &amp; Ehrhardt, 2020). DER tinggi menunjukkan perusahaan banyak mengandalkan utang dibanding modal sendiri, sehingga risiko finansial lebih besar. DER rendah menandakan perusahaan menggunakan modal sendiri lebih dominan, memberikan kestabilan struktur modal.</w:t>
      </w:r>
    </w:p>
    <w:p w14:paraId="6626A192">
      <w:pPr>
        <w:pStyle w:val="31"/>
        <w:spacing w:line="240" w:lineRule="auto"/>
        <w:ind w:left="1440" w:firstLine="720"/>
        <w:jc w:val="both"/>
        <w:rPr>
          <w:rFonts w:ascii="Times New Roman" w:hAnsi="Times New Roman" w:cs="Times New Roman"/>
        </w:rPr>
      </w:pPr>
      <w:r>
        <w:rPr>
          <w:rFonts w:ascii="Times New Roman" w:hAnsi="Times New Roman" w:cs="Times New Roman"/>
        </w:rPr>
        <w:t>Rumus:</w:t>
      </w:r>
    </w:p>
    <w:p w14:paraId="2D2B3423">
      <w:pPr>
        <w:pStyle w:val="31"/>
        <w:spacing w:line="240" w:lineRule="auto"/>
        <w:ind w:left="1440" w:firstLine="72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71552" behindDoc="0" locked="0" layoutInCell="1" allowOverlap="1">
                <wp:simplePos x="0" y="0"/>
                <wp:positionH relativeFrom="column">
                  <wp:posOffset>1762125</wp:posOffset>
                </wp:positionH>
                <wp:positionV relativeFrom="paragraph">
                  <wp:posOffset>172085</wp:posOffset>
                </wp:positionV>
                <wp:extent cx="93345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8.75pt;margin-top:13.55pt;height:0pt;width:73.5pt;z-index:251671552;mso-width-relative:page;mso-height-relative:page;" filled="f" stroked="t" coordsize="21600,21600" o:gfxdata="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nojjvWAAAACQEAAA8AAAAAAAAAAQAgAAAAIgAA&#10;AGRycy9kb3ducmV2LnhtbFBLAQIUABQAAAAIAIdO4kDWrrFM0QEAALUDAAAOAAAAAAAAAAEAIAAA&#10;ACUBAABkcnMvZTJvRG9jLnhtbFBLBQYAAAAABgAGAFkBAABoBQAAAAA=&#10;">
                <v:fill on="f" focussize="0,0"/>
                <v:stroke weight="0.5pt" color="#000000 [3200]" miterlimit="8" joinstyle="miter"/>
                <v:imagedata o:title=""/>
                <o:lock v:ext="edit" aspectratio="f"/>
              </v:line>
            </w:pict>
          </mc:Fallback>
        </mc:AlternateContent>
      </w:r>
      <w:r>
        <w:rPr>
          <w:rFonts w:ascii="Times New Roman" w:hAnsi="Times New Roman" w:cs="Times New Roman"/>
        </w:rPr>
        <w:t>DER =  Total utang         x 100%</w:t>
      </w:r>
    </w:p>
    <w:p w14:paraId="3CA11CDA">
      <w:pPr>
        <w:pStyle w:val="31"/>
        <w:spacing w:line="240" w:lineRule="auto"/>
        <w:ind w:left="1440" w:firstLine="720"/>
        <w:jc w:val="both"/>
        <w:rPr>
          <w:rFonts w:ascii="Times New Roman" w:hAnsi="Times New Roman" w:cs="Times New Roman"/>
        </w:rPr>
      </w:pPr>
      <w:r>
        <w:rPr>
          <w:rFonts w:ascii="Times New Roman" w:hAnsi="Times New Roman" w:cs="Times New Roman"/>
        </w:rPr>
        <w:t xml:space="preserve">             Total ekuitas </w:t>
      </w:r>
    </w:p>
    <w:p w14:paraId="5597DEF1">
      <w:pPr>
        <w:pStyle w:val="31"/>
        <w:spacing w:line="240" w:lineRule="auto"/>
        <w:ind w:left="1440" w:firstLine="720"/>
        <w:jc w:val="both"/>
        <w:rPr>
          <w:rFonts w:ascii="Times New Roman" w:hAnsi="Times New Roman" w:cs="Times New Roman"/>
        </w:rPr>
      </w:pPr>
    </w:p>
    <w:p w14:paraId="2AE11AAB">
      <w:pPr>
        <w:pStyle w:val="31"/>
        <w:numPr>
          <w:ilvl w:val="0"/>
          <w:numId w:val="10"/>
        </w:numPr>
        <w:spacing w:line="240" w:lineRule="auto"/>
        <w:jc w:val="both"/>
        <w:rPr>
          <w:rFonts w:ascii="Times New Roman" w:hAnsi="Times New Roman" w:cs="Times New Roman"/>
        </w:rPr>
      </w:pPr>
      <w:r>
        <w:rPr>
          <w:rFonts w:ascii="Times New Roman" w:hAnsi="Times New Roman" w:cs="Times New Roman"/>
        </w:rPr>
        <w:t>Debt-to-Capital Ratio (DCR)</w:t>
      </w:r>
    </w:p>
    <w:p w14:paraId="26076244">
      <w:pPr>
        <w:pStyle w:val="31"/>
        <w:spacing w:line="240" w:lineRule="auto"/>
        <w:ind w:left="1440" w:firstLine="720"/>
        <w:jc w:val="both"/>
        <w:rPr>
          <w:rFonts w:ascii="Times New Roman" w:hAnsi="Times New Roman" w:cs="Times New Roman"/>
        </w:rPr>
      </w:pPr>
      <w:r>
        <w:rPr>
          <w:rFonts w:ascii="Times New Roman" w:hAnsi="Times New Roman" w:cs="Times New Roman"/>
        </w:rPr>
        <w:t>DCR menunjukkan proporsi utang terhadap total modal perusahaan, di mana total modal = utang + ekuitas. Rasio ini memberikan gambaran keseluruhan tentang struktur modal dan risiko leverage (Titman et al., 2017). Rasio ini memberikan gambaran keseluruhan tentang struktur modal perusahaan. DCR tinggi menandakan ketergantungan besar pada utang, sedangkan DCR rendah menunjukkan modal sendiri lebih dominan.</w:t>
      </w:r>
    </w:p>
    <w:p w14:paraId="74A936EC">
      <w:pPr>
        <w:pStyle w:val="31"/>
        <w:spacing w:line="240" w:lineRule="auto"/>
        <w:ind w:left="1440" w:firstLine="720"/>
        <w:jc w:val="both"/>
        <w:rPr>
          <w:rFonts w:ascii="Times New Roman" w:hAnsi="Times New Roman" w:cs="Times New Roman"/>
        </w:rPr>
      </w:pPr>
      <w:r>
        <w:rPr>
          <w:rFonts w:ascii="Times New Roman" w:hAnsi="Times New Roman" w:cs="Times New Roman"/>
        </w:rPr>
        <w:t>Rumus:</w:t>
      </w:r>
    </w:p>
    <w:p w14:paraId="315E0B3B">
      <w:pPr>
        <w:pStyle w:val="31"/>
        <w:spacing w:line="240" w:lineRule="auto"/>
        <w:ind w:left="1440" w:firstLine="720"/>
        <w:jc w:val="both"/>
        <w:rPr>
          <w:rFonts w:ascii="Times New Roman" w:hAnsi="Times New Roman" w:cs="Times New Roman"/>
        </w:rPr>
      </w:pPr>
      <w:r>
        <w:rPr>
          <w:rFonts w:ascii="Times New Roman" w:hAnsi="Times New Roman" w:cs="Times New Roman"/>
        </w:rPr>
        <w:t>DCR =                 Total utang                   x 100%</w:t>
      </w:r>
    </w:p>
    <w:p w14:paraId="76E2D39B">
      <w:pPr>
        <w:pStyle w:val="31"/>
        <w:spacing w:line="240" w:lineRule="auto"/>
        <w:ind w:left="1440" w:firstLine="72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72576" behindDoc="0" locked="0" layoutInCell="1" allowOverlap="1">
                <wp:simplePos x="0" y="0"/>
                <wp:positionH relativeFrom="column">
                  <wp:posOffset>1819275</wp:posOffset>
                </wp:positionH>
                <wp:positionV relativeFrom="paragraph">
                  <wp:posOffset>11430</wp:posOffset>
                </wp:positionV>
                <wp:extent cx="187642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1876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3.25pt;margin-top:0.9pt;height:0pt;width:147.75pt;z-index:251672576;mso-width-relative:page;mso-height-relative:page;" filled="f" stroked="t" coordsize="21600,21600" o:gfxdata="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I7fEe1AAAAAcBAAAPAAAAAAAAAAEA&#10;IAAAACIAAABkcnMvZG93bnJldi54bWxQSwECFAAUAAAACACHTuJAoRrdyNoBAADAAwAADgAAAAAA&#10;AAABACAAAAAjAQAAZHJzL2Uyb0RvYy54bWxQSwUGAAAAAAYABgBZAQAAbwUAAAAA&#10;">
                <v:fill on="f" focussize="0,0"/>
                <v:stroke weight="0.5pt" color="#000000 [3200]" miterlimit="8" joinstyle="miter"/>
                <v:imagedata o:title=""/>
                <o:lock v:ext="edit" aspectratio="f"/>
              </v:line>
            </w:pict>
          </mc:Fallback>
        </mc:AlternateContent>
      </w:r>
      <w:r>
        <w:rPr>
          <w:rFonts w:ascii="Times New Roman" w:hAnsi="Times New Roman" w:cs="Times New Roman"/>
        </w:rPr>
        <w:t xml:space="preserve">                Total utang + Total ekuitas</w:t>
      </w:r>
    </w:p>
    <w:p w14:paraId="05EF4786">
      <w:pPr>
        <w:pStyle w:val="31"/>
        <w:spacing w:line="240" w:lineRule="auto"/>
        <w:ind w:left="1440" w:firstLine="720"/>
        <w:jc w:val="both"/>
        <w:rPr>
          <w:rFonts w:ascii="Times New Roman" w:hAnsi="Times New Roman" w:cs="Times New Roman"/>
        </w:rPr>
      </w:pPr>
    </w:p>
    <w:p w14:paraId="057E46FC">
      <w:pPr>
        <w:pStyle w:val="31"/>
        <w:spacing w:line="240" w:lineRule="auto"/>
        <w:ind w:left="1440"/>
        <w:jc w:val="both"/>
        <w:rPr>
          <w:rFonts w:ascii="Times New Roman" w:hAnsi="Times New Roman" w:cs="Times New Roman"/>
        </w:rPr>
      </w:pPr>
    </w:p>
    <w:p w14:paraId="3FF0D10E">
      <w:pPr>
        <w:pStyle w:val="31"/>
        <w:spacing w:line="240" w:lineRule="auto"/>
        <w:ind w:left="1440"/>
        <w:jc w:val="both"/>
        <w:rPr>
          <w:rFonts w:ascii="Times New Roman" w:hAnsi="Times New Roman" w:cs="Times New Roman"/>
        </w:rPr>
      </w:pPr>
    </w:p>
    <w:p w14:paraId="16330A07">
      <w:pPr>
        <w:pStyle w:val="31"/>
        <w:spacing w:line="240" w:lineRule="auto"/>
        <w:ind w:left="1440"/>
        <w:jc w:val="both"/>
        <w:rPr>
          <w:rFonts w:ascii="Times New Roman" w:hAnsi="Times New Roman" w:cs="Times New Roman"/>
        </w:rPr>
      </w:pPr>
    </w:p>
    <w:p w14:paraId="10457A59">
      <w:pPr>
        <w:pStyle w:val="31"/>
        <w:spacing w:line="240" w:lineRule="auto"/>
        <w:ind w:left="1440"/>
        <w:jc w:val="both"/>
        <w:rPr>
          <w:rFonts w:ascii="Times New Roman" w:hAnsi="Times New Roman" w:cs="Times New Roman"/>
        </w:rPr>
      </w:pPr>
    </w:p>
    <w:p w14:paraId="1B294BE6">
      <w:pPr>
        <w:pStyle w:val="31"/>
        <w:numPr>
          <w:ilvl w:val="0"/>
          <w:numId w:val="10"/>
        </w:numPr>
        <w:spacing w:line="240" w:lineRule="auto"/>
        <w:jc w:val="both"/>
        <w:rPr>
          <w:rFonts w:ascii="Times New Roman" w:hAnsi="Times New Roman" w:cs="Times New Roman"/>
        </w:rPr>
      </w:pPr>
      <w:r>
        <w:rPr>
          <w:rFonts w:ascii="Times New Roman" w:hAnsi="Times New Roman" w:cs="Times New Roman"/>
        </w:rPr>
        <w:t>Debt-to-EBITDA Ratio</w:t>
      </w:r>
    </w:p>
    <w:p w14:paraId="0A186F52">
      <w:pPr>
        <w:pStyle w:val="31"/>
        <w:spacing w:line="240" w:lineRule="auto"/>
        <w:ind w:left="1440" w:firstLine="720"/>
        <w:jc w:val="both"/>
        <w:rPr>
          <w:rFonts w:ascii="Times New Roman" w:hAnsi="Times New Roman" w:cs="Times New Roman"/>
        </w:rPr>
      </w:pPr>
      <w:r>
        <w:rPr>
          <w:rFonts w:ascii="Times New Roman" w:hAnsi="Times New Roman" w:cs="Times New Roman"/>
        </w:rPr>
        <w:t>Rasio ini menilai kemampuan perusahaan membayar utangnya dari laba operasi sebelum bunga, pajak, depresiasi, dan amortisasi. Rasio ini banyak digunakan oleh kreditor dan analis untuk menilai solvabilitas jangka pendek dan risiko gagal bayar (Damodaran, 2012). Rasio rendah menunjukkan kemampuan perusahaan membayar utang lebih baik, sedangkan rasio tinggi dapat mengindikasikan risiko gagal bayar.</w:t>
      </w:r>
    </w:p>
    <w:p w14:paraId="698D1ABF">
      <w:pPr>
        <w:pStyle w:val="31"/>
        <w:spacing w:line="240" w:lineRule="auto"/>
        <w:ind w:left="1440" w:firstLine="720"/>
        <w:jc w:val="both"/>
        <w:rPr>
          <w:rFonts w:ascii="Times New Roman" w:hAnsi="Times New Roman" w:cs="Times New Roman"/>
        </w:rPr>
      </w:pPr>
      <w:r>
        <w:rPr>
          <w:rFonts w:ascii="Times New Roman" w:hAnsi="Times New Roman" w:cs="Times New Roman"/>
        </w:rPr>
        <w:t xml:space="preserve">Rumus: </w:t>
      </w:r>
    </w:p>
    <w:p w14:paraId="111DD43C">
      <w:pPr>
        <w:pStyle w:val="31"/>
        <w:spacing w:line="240" w:lineRule="auto"/>
        <w:ind w:left="1440" w:firstLine="720"/>
        <w:jc w:val="both"/>
        <w:rPr>
          <w:rFonts w:ascii="Times New Roman" w:hAnsi="Times New Roman" w:cs="Times New Roman"/>
        </w:rPr>
      </w:pPr>
      <w:r>
        <w:rPr>
          <w:rFonts w:ascii="Times New Roman" w:hAnsi="Times New Roman" w:cs="Times New Roman"/>
        </w:rPr>
        <w:t xml:space="preserve">Debt to EBITDA Ratio =  Total utang </w:t>
      </w:r>
    </w:p>
    <w:p w14:paraId="3C18D5D3">
      <w:pPr>
        <w:pStyle w:val="31"/>
        <w:spacing w:line="240" w:lineRule="auto"/>
        <w:ind w:left="1440" w:firstLine="72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2932430</wp:posOffset>
                </wp:positionH>
                <wp:positionV relativeFrom="paragraph">
                  <wp:posOffset>8255</wp:posOffset>
                </wp:positionV>
                <wp:extent cx="807085"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8073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30.9pt;margin-top:0.65pt;height:0pt;width:63.55pt;z-index:251673600;mso-width-relative:page;mso-height-relative:page;" filled="f" stroked="t" coordsize="21600,21600" o:gfxdata="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q9RJiNMAAAAHAQAADwAAAAAAAAABACAAAAAiAAAA&#10;ZHJzL2Rvd25yZXYueG1sUEsBAhQAFAAAAAgAh07iQBSsVwDTAQAAtQMAAA4AAAAAAAAAAQAgAAAA&#10;IgEAAGRycy9lMm9Eb2MueG1sUEsFBgAAAAAGAAYAWQEAAGcFAAAAAA==&#10;">
                <v:fill on="f" focussize="0,0"/>
                <v:stroke weight="0.5pt" color="#000000 [3200]" miterlimit="8" joinstyle="miter"/>
                <v:imagedata o:title=""/>
                <o:lock v:ext="edit" aspectratio="f"/>
              </v:line>
            </w:pict>
          </mc:Fallback>
        </mc:AlternateContent>
      </w:r>
      <w:r>
        <w:rPr>
          <w:rFonts w:ascii="Times New Roman" w:hAnsi="Times New Roman" w:cs="Times New Roman"/>
        </w:rPr>
        <w:t xml:space="preserve">                                            EBITDA</w:t>
      </w:r>
    </w:p>
    <w:p w14:paraId="70C85460">
      <w:pPr>
        <w:pStyle w:val="31"/>
        <w:spacing w:line="240" w:lineRule="auto"/>
        <w:ind w:left="1440" w:firstLine="720"/>
        <w:jc w:val="both"/>
        <w:rPr>
          <w:rFonts w:ascii="Times New Roman" w:hAnsi="Times New Roman" w:cs="Times New Roman"/>
        </w:rPr>
      </w:pPr>
      <w:r>
        <w:rPr>
          <w:rFonts w:ascii="Times New Roman" w:hAnsi="Times New Roman" w:cs="Times New Roman"/>
        </w:rPr>
        <w:t>EBITDA adalah Earnings Before Interest, Taxes, Depreciation, and Amortization, yaitu pendapatan sebelum bunga, pajak, depresiasi, dan amortisasi. EBITDA dihitung dengan menjumlahkan laba bersih dengan bunga, pajak, depresiasi, dan amortisasi.</w:t>
      </w:r>
    </w:p>
    <w:p w14:paraId="6604ADED">
      <w:pPr>
        <w:pStyle w:val="31"/>
        <w:spacing w:line="240" w:lineRule="auto"/>
        <w:ind w:left="1440" w:firstLine="720"/>
        <w:jc w:val="both"/>
        <w:rPr>
          <w:rFonts w:ascii="Times New Roman" w:hAnsi="Times New Roman" w:cs="Times New Roman"/>
        </w:rPr>
      </w:pPr>
    </w:p>
    <w:p w14:paraId="24561830">
      <w:pPr>
        <w:pStyle w:val="31"/>
        <w:numPr>
          <w:ilvl w:val="0"/>
          <w:numId w:val="10"/>
        </w:numPr>
        <w:spacing w:line="240" w:lineRule="auto"/>
        <w:jc w:val="both"/>
        <w:rPr>
          <w:rFonts w:ascii="Times New Roman" w:hAnsi="Times New Roman" w:cs="Times New Roman"/>
        </w:rPr>
      </w:pPr>
      <w:r>
        <w:rPr>
          <w:rFonts w:ascii="Times New Roman" w:hAnsi="Times New Roman" w:cs="Times New Roman"/>
        </w:rPr>
        <w:t>Times Interest Earned (Interest Coverage Ratio)</w:t>
      </w:r>
    </w:p>
    <w:p w14:paraId="4FD91610">
      <w:pPr>
        <w:pStyle w:val="31"/>
        <w:spacing w:line="240" w:lineRule="auto"/>
        <w:ind w:left="1440" w:firstLine="720"/>
        <w:jc w:val="both"/>
        <w:rPr>
          <w:rFonts w:ascii="Times New Roman" w:hAnsi="Times New Roman" w:cs="Times New Roman"/>
        </w:rPr>
      </w:pPr>
      <w:r>
        <w:rPr>
          <w:rFonts w:ascii="Times New Roman" w:hAnsi="Times New Roman" w:cs="Times New Roman"/>
        </w:rPr>
        <w:t>Mengukur kemampuan perusahaan membayar beban bunga dari laba operasional. Rasio tinggi menunjukkan perusahaan mampu memenuhi kewajiban bunga dengan mudah, sehingga risiko gagal bayar rendah. Rasio rendah menandakan potensi kesulitan dalam membayar bunga utang.</w:t>
      </w:r>
    </w:p>
    <w:p w14:paraId="4B797566">
      <w:pPr>
        <w:pStyle w:val="31"/>
        <w:spacing w:line="240" w:lineRule="auto"/>
        <w:ind w:left="1440" w:firstLine="720"/>
        <w:jc w:val="both"/>
        <w:rPr>
          <w:rFonts w:ascii="Times New Roman" w:hAnsi="Times New Roman" w:cs="Times New Roman"/>
        </w:rPr>
      </w:pPr>
      <w:r>
        <w:rPr>
          <w:rFonts w:ascii="Times New Roman" w:hAnsi="Times New Roman" w:cs="Times New Roman"/>
        </w:rPr>
        <w:t>Rumus:</w:t>
      </w:r>
    </w:p>
    <w:p w14:paraId="15673760">
      <w:pPr>
        <w:pStyle w:val="31"/>
        <w:spacing w:line="240" w:lineRule="auto"/>
        <w:ind w:left="1440" w:firstLine="720"/>
        <w:jc w:val="both"/>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74624" behindDoc="0" locked="0" layoutInCell="1" allowOverlap="1">
                <wp:simplePos x="0" y="0"/>
                <wp:positionH relativeFrom="column">
                  <wp:posOffset>1677670</wp:posOffset>
                </wp:positionH>
                <wp:positionV relativeFrom="paragraph">
                  <wp:posOffset>171450</wp:posOffset>
                </wp:positionV>
                <wp:extent cx="1050290" cy="9525"/>
                <wp:effectExtent l="0" t="0" r="35560" b="28575"/>
                <wp:wrapNone/>
                <wp:docPr id="17" name="Straight Connector 17"/>
                <wp:cNvGraphicFramePr/>
                <a:graphic xmlns:a="http://schemas.openxmlformats.org/drawingml/2006/main">
                  <a:graphicData uri="http://schemas.microsoft.com/office/word/2010/wordprocessingShape">
                    <wps:wsp>
                      <wps:cNvCnPr/>
                      <wps:spPr>
                        <a:xfrm>
                          <a:off x="0" y="0"/>
                          <a:ext cx="1050588" cy="97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2.1pt;margin-top:13.5pt;height:0.75pt;width:82.7pt;z-index:251674624;mso-width-relative:page;mso-height-relative:page;" filled="f" stroked="t" coordsize="21600,21600" o:gfxdata="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VwYoU1wAAAAkBAAAPAAAAAAAAAAEA&#10;IAAAACIAAABkcnMvZG93bnJldi54bWxQSwECFAAUAAAACACHTuJA1dq6i9cBAAC5AwAADgAAAAAA&#10;AAABACAAAAAmAQAAZHJzL2Uyb0RvYy54bWxQSwUGAAAAAAYABgBZAQAAbwUAAAAA&#10;">
                <v:fill on="f" focussize="0,0"/>
                <v:stroke weight="0.5pt" color="#000000 [3200]" miterlimit="8" joinstyle="miter"/>
                <v:imagedata o:title=""/>
                <o:lock v:ext="edit" aspectratio="f"/>
              </v:line>
            </w:pict>
          </mc:Fallback>
        </mc:AlternateContent>
      </w:r>
      <w:r>
        <w:rPr>
          <w:rFonts w:ascii="Times New Roman" w:hAnsi="Times New Roman" w:cs="Times New Roman"/>
        </w:rPr>
        <w:t>TIE =      EBIT</w:t>
      </w:r>
    </w:p>
    <w:p w14:paraId="57F69FD5">
      <w:pPr>
        <w:pStyle w:val="31"/>
        <w:spacing w:line="240" w:lineRule="auto"/>
        <w:ind w:left="1440" w:firstLine="720"/>
        <w:jc w:val="both"/>
        <w:rPr>
          <w:rFonts w:ascii="Times New Roman" w:hAnsi="Times New Roman" w:cs="Times New Roman"/>
        </w:rPr>
      </w:pPr>
      <w:r>
        <w:rPr>
          <w:rFonts w:ascii="Times New Roman" w:hAnsi="Times New Roman" w:cs="Times New Roman"/>
        </w:rPr>
        <w:t xml:space="preserve">           Beban bunga</w:t>
      </w:r>
    </w:p>
    <w:p w14:paraId="6FD309EA">
      <w:pPr>
        <w:pStyle w:val="31"/>
        <w:spacing w:line="240" w:lineRule="auto"/>
        <w:ind w:left="1440" w:firstLine="720"/>
        <w:jc w:val="both"/>
        <w:rPr>
          <w:rFonts w:ascii="Times New Roman" w:hAnsi="Times New Roman" w:cs="Times New Roman"/>
        </w:rPr>
      </w:pPr>
    </w:p>
    <w:p w14:paraId="6A139FDD">
      <w:pPr>
        <w:pStyle w:val="31"/>
        <w:spacing w:line="240" w:lineRule="auto"/>
        <w:ind w:left="1440"/>
        <w:jc w:val="both"/>
        <w:rPr>
          <w:rFonts w:ascii="Times New Roman" w:hAnsi="Times New Roman" w:cs="Times New Roman"/>
        </w:rPr>
      </w:pPr>
      <w:r>
        <w:rPr>
          <w:rFonts w:ascii="Times New Roman" w:hAnsi="Times New Roman" w:cs="Times New Roman"/>
        </w:rPr>
        <w:t>EBIT (Earnings Before Interest and Taxes) = Laba sebelum bunga dan pajak,                       disebut juga laba operasi.</w:t>
      </w:r>
    </w:p>
    <w:p w14:paraId="0DE8C1CC">
      <w:pPr>
        <w:pStyle w:val="31"/>
        <w:spacing w:line="240" w:lineRule="auto"/>
        <w:ind w:left="1440" w:firstLine="720"/>
        <w:jc w:val="both"/>
        <w:rPr>
          <w:rFonts w:ascii="Times New Roman" w:hAnsi="Times New Roman" w:cs="Times New Roman"/>
        </w:rPr>
      </w:pPr>
    </w:p>
    <w:p w14:paraId="50A50249">
      <w:pPr>
        <w:pStyle w:val="31"/>
        <w:spacing w:line="240" w:lineRule="auto"/>
        <w:ind w:left="1440"/>
        <w:jc w:val="both"/>
        <w:rPr>
          <w:rFonts w:ascii="Times New Roman" w:hAnsi="Times New Roman" w:cs="Times New Roman"/>
        </w:rPr>
      </w:pPr>
      <w:r>
        <w:rPr>
          <w:rFonts w:ascii="Times New Roman" w:hAnsi="Times New Roman" w:cs="Times New Roman"/>
        </w:rPr>
        <w:t>Beban Bunga (Interest Expense) = Total bunga yang harus dibayar atas utang perusahaan dalam satu periode.</w:t>
      </w:r>
    </w:p>
    <w:p w14:paraId="5E009D9B">
      <w:pPr>
        <w:spacing w:line="240" w:lineRule="auto"/>
        <w:jc w:val="both"/>
        <w:rPr>
          <w:rFonts w:ascii="Times New Roman" w:hAnsi="Times New Roman" w:cs="Times New Roman"/>
        </w:rPr>
      </w:pPr>
      <w:r>
        <w:rPr>
          <w:rFonts w:ascii="Times New Roman" w:hAnsi="Times New Roman" w:cs="Times New Roman"/>
        </w:rPr>
        <w:t xml:space="preserve">                                          </w:t>
      </w:r>
    </w:p>
    <w:p w14:paraId="668A2A5B">
      <w:pPr>
        <w:pStyle w:val="31"/>
        <w:numPr>
          <w:ilvl w:val="0"/>
          <w:numId w:val="1"/>
        </w:numPr>
        <w:spacing w:line="240" w:lineRule="auto"/>
        <w:jc w:val="both"/>
        <w:rPr>
          <w:rFonts w:ascii="Times New Roman" w:hAnsi="Times New Roman" w:cs="Times New Roman"/>
          <w:b/>
          <w:bCs/>
        </w:rPr>
      </w:pPr>
      <w:r>
        <w:rPr>
          <w:rFonts w:ascii="Times New Roman" w:hAnsi="Times New Roman" w:cs="Times New Roman"/>
          <w:b/>
          <w:bCs/>
        </w:rPr>
        <w:t>Kesimpulan</w:t>
      </w:r>
    </w:p>
    <w:p w14:paraId="5E34D19B">
      <w:pPr>
        <w:pStyle w:val="31"/>
        <w:spacing w:line="240" w:lineRule="auto"/>
        <w:jc w:val="both"/>
        <w:rPr>
          <w:rFonts w:ascii="Times New Roman" w:hAnsi="Times New Roman" w:cs="Times New Roman"/>
          <w:b/>
          <w:bCs/>
        </w:rPr>
      </w:pPr>
    </w:p>
    <w:p w14:paraId="41C944AA">
      <w:pPr>
        <w:pStyle w:val="31"/>
        <w:spacing w:line="240" w:lineRule="auto"/>
        <w:ind w:firstLine="720"/>
        <w:jc w:val="both"/>
        <w:rPr>
          <w:rFonts w:ascii="Times New Roman" w:hAnsi="Times New Roman" w:cs="Times New Roman"/>
        </w:rPr>
      </w:pPr>
      <w:r>
        <w:rPr>
          <w:rFonts w:ascii="Times New Roman" w:hAnsi="Times New Roman" w:cs="Times New Roman"/>
        </w:rPr>
        <w:t>Analisis laporan keuangan menggunakan rasio pasar, rasio profitabilitas, dan rasio manajemen utang memberikan gambaran menyeluruh tentang kondisi keuangan perusahaan, efektivitas manajemen, dan risiko keuangan yang dihadapi. Rasio pasar membantu menilai valuasi saham dan ekspektasi pertumbuhan perusahaan di mata investor. Rasio profitabilitas menunjukkan kemampuan perusahaan dalam menghasilkan laba dari aset dan modalnya, sekaligus mengukur efisiensi dan efektivitas operasional. Rasio manajemen utang menunjukkan proporsi utang dalam struktur pembiayaan dan kemampuan perusahaan dalam memenuhi kewajibannya, yang penting untuk menilai kesehatan dan risiko finansial perusahaan. Dengan pemahaman berbagai rasio ini, manajemen dan investor dapat membuat keputusan strategis yang lebih tepat untuk meningkatkan kinerja dan nilai perusahaan.</w:t>
      </w:r>
    </w:p>
    <w:p w14:paraId="3CA7D0F9">
      <w:pPr>
        <w:spacing w:line="240" w:lineRule="auto"/>
        <w:jc w:val="both"/>
        <w:rPr>
          <w:rFonts w:ascii="Times New Roman" w:hAnsi="Times New Roman" w:cs="Times New Roman"/>
        </w:rPr>
      </w:pPr>
    </w:p>
    <w:p w14:paraId="126F5F00">
      <w:pPr>
        <w:pStyle w:val="31"/>
        <w:spacing w:line="240" w:lineRule="auto"/>
        <w:jc w:val="both"/>
        <w:rPr>
          <w:rFonts w:ascii="Times New Roman" w:hAnsi="Times New Roman" w:cs="Times New Roman"/>
          <w:b/>
          <w:bCs/>
        </w:rPr>
      </w:pPr>
    </w:p>
    <w:p w14:paraId="638F8740">
      <w:pPr>
        <w:pStyle w:val="31"/>
        <w:spacing w:line="240" w:lineRule="auto"/>
        <w:jc w:val="both"/>
        <w:rPr>
          <w:rFonts w:ascii="Times New Roman" w:hAnsi="Times New Roman" w:cs="Times New Roman"/>
          <w:b/>
          <w:bCs/>
        </w:rPr>
      </w:pPr>
    </w:p>
    <w:p w14:paraId="262AA40F">
      <w:pPr>
        <w:pStyle w:val="31"/>
        <w:spacing w:line="240" w:lineRule="auto"/>
        <w:jc w:val="both"/>
        <w:rPr>
          <w:rFonts w:ascii="Times New Roman" w:hAnsi="Times New Roman" w:cs="Times New Roman"/>
          <w:b/>
          <w:bCs/>
        </w:rPr>
      </w:pPr>
    </w:p>
    <w:p w14:paraId="78C524FD">
      <w:pPr>
        <w:pStyle w:val="31"/>
        <w:spacing w:line="240" w:lineRule="auto"/>
        <w:jc w:val="both"/>
        <w:rPr>
          <w:rFonts w:ascii="Times New Roman" w:hAnsi="Times New Roman" w:cs="Times New Roman"/>
          <w:b/>
          <w:bCs/>
        </w:rPr>
      </w:pPr>
    </w:p>
    <w:p w14:paraId="42569690">
      <w:pPr>
        <w:pStyle w:val="31"/>
        <w:spacing w:line="240" w:lineRule="auto"/>
        <w:jc w:val="both"/>
        <w:rPr>
          <w:rFonts w:ascii="Times New Roman" w:hAnsi="Times New Roman" w:cs="Times New Roman"/>
          <w:b/>
          <w:bCs/>
        </w:rPr>
      </w:pPr>
    </w:p>
    <w:p w14:paraId="7F718809">
      <w:pPr>
        <w:pStyle w:val="31"/>
        <w:spacing w:line="240" w:lineRule="auto"/>
        <w:jc w:val="both"/>
        <w:rPr>
          <w:rFonts w:ascii="Times New Roman" w:hAnsi="Times New Roman" w:cs="Times New Roman"/>
          <w:b/>
          <w:bCs/>
        </w:rPr>
      </w:pPr>
    </w:p>
    <w:p w14:paraId="5C902B29">
      <w:pPr>
        <w:pStyle w:val="31"/>
        <w:numPr>
          <w:ilvl w:val="0"/>
          <w:numId w:val="1"/>
        </w:numPr>
        <w:spacing w:line="240" w:lineRule="auto"/>
        <w:jc w:val="both"/>
        <w:rPr>
          <w:rFonts w:ascii="Times New Roman" w:hAnsi="Times New Roman" w:cs="Times New Roman"/>
          <w:b/>
          <w:bCs/>
        </w:rPr>
      </w:pPr>
      <w:r>
        <w:rPr>
          <w:rFonts w:ascii="Times New Roman" w:hAnsi="Times New Roman" w:cs="Times New Roman"/>
          <w:b/>
          <w:bCs/>
        </w:rPr>
        <w:t>Daftar Pustaka</w:t>
      </w:r>
    </w:p>
    <w:p w14:paraId="72A88F3A">
      <w:pPr>
        <w:pStyle w:val="31"/>
        <w:spacing w:line="240" w:lineRule="auto"/>
        <w:jc w:val="both"/>
        <w:rPr>
          <w:rFonts w:ascii="Times New Roman" w:hAnsi="Times New Roman" w:cs="Times New Roman"/>
          <w:b/>
          <w:bCs/>
        </w:rPr>
      </w:pPr>
    </w:p>
    <w:p w14:paraId="5DF53DA2">
      <w:pPr>
        <w:pStyle w:val="31"/>
        <w:spacing w:line="240" w:lineRule="auto"/>
        <w:ind w:left="1440" w:hanging="720"/>
        <w:jc w:val="both"/>
        <w:rPr>
          <w:rFonts w:ascii="Times New Roman" w:hAnsi="Times New Roman" w:cs="Times New Roman"/>
        </w:rPr>
      </w:pPr>
      <w:r>
        <w:rPr>
          <w:rFonts w:ascii="Times New Roman" w:hAnsi="Times New Roman" w:cs="Times New Roman"/>
        </w:rPr>
        <w:t xml:space="preserve">Wahyuni, I., Pasigai, M. A., &amp; Adzim, F. (2019). Analisis Rasio Profitabilitas sebagai Alat untuk Mengukur Kinerja Keuangan pada PT. Biringkassi Raya Semen Tonasa Group. </w:t>
      </w:r>
    </w:p>
    <w:p w14:paraId="555BD6EF">
      <w:pPr>
        <w:pStyle w:val="31"/>
        <w:spacing w:line="240" w:lineRule="auto"/>
        <w:ind w:left="1440" w:hanging="720"/>
        <w:jc w:val="both"/>
        <w:rPr>
          <w:rFonts w:ascii="Times New Roman" w:hAnsi="Times New Roman" w:cs="Times New Roman"/>
        </w:rPr>
      </w:pPr>
      <w:r>
        <w:rPr>
          <w:rFonts w:ascii="Times New Roman" w:hAnsi="Times New Roman" w:cs="Times New Roman"/>
        </w:rPr>
        <w:t xml:space="preserve">Jurnal Profitability, Vol. 3 No.1. </w:t>
      </w:r>
    </w:p>
    <w:p w14:paraId="52E846BA">
      <w:pPr>
        <w:pStyle w:val="31"/>
        <w:spacing w:line="240" w:lineRule="auto"/>
        <w:ind w:left="1440" w:hanging="720"/>
        <w:jc w:val="both"/>
        <w:rPr>
          <w:rFonts w:ascii="Times New Roman" w:hAnsi="Times New Roman" w:cs="Times New Roman"/>
        </w:rPr>
      </w:pPr>
      <w:r>
        <w:rPr>
          <w:rFonts w:ascii="Times New Roman" w:hAnsi="Times New Roman" w:cs="Times New Roman"/>
        </w:rPr>
        <w:t>Harahap, S. S. (2018). Analisis Rasio Keuangan untuk Menilai Kinerja Perusahaan. Jurnal MENAWAN, 3(4), 262-270.</w:t>
      </w:r>
    </w:p>
    <w:p w14:paraId="30431DC7">
      <w:pPr>
        <w:pStyle w:val="31"/>
        <w:spacing w:line="240" w:lineRule="auto"/>
        <w:ind w:left="1440" w:hanging="720"/>
        <w:jc w:val="both"/>
        <w:rPr>
          <w:rFonts w:ascii="Times New Roman" w:hAnsi="Times New Roman" w:cs="Times New Roman"/>
        </w:rPr>
      </w:pPr>
      <w:r>
        <w:rPr>
          <w:rFonts w:ascii="Times New Roman" w:hAnsi="Times New Roman" w:cs="Times New Roman"/>
        </w:rPr>
        <w:t xml:space="preserve"> Siti Nurhaliza &amp; Hendra Harmain. (2022). Analisis Profitabilitas sebagai Indikator Kinerja Keuangan Perbankan. Jurnal JEBaku. </w:t>
      </w:r>
    </w:p>
    <w:p w14:paraId="60CE06B3">
      <w:pPr>
        <w:pStyle w:val="31"/>
        <w:spacing w:line="240" w:lineRule="auto"/>
        <w:ind w:left="1440" w:hanging="720"/>
        <w:jc w:val="both"/>
        <w:rPr>
          <w:rFonts w:ascii="Times New Roman" w:hAnsi="Times New Roman" w:cs="Times New Roman"/>
        </w:rPr>
      </w:pPr>
      <w:r>
        <w:rPr>
          <w:rFonts w:ascii="Times New Roman" w:hAnsi="Times New Roman" w:cs="Times New Roman"/>
        </w:rPr>
        <w:t>Kasmir. (2019). Analisis Laporan Keuangan. Economix Journal, 10(2).</w:t>
      </w:r>
    </w:p>
    <w:p w14:paraId="722DC9DF">
      <w:pPr>
        <w:pStyle w:val="31"/>
        <w:spacing w:line="240" w:lineRule="auto"/>
        <w:ind w:left="1440" w:hanging="720"/>
        <w:jc w:val="both"/>
        <w:rPr>
          <w:rFonts w:ascii="Times New Roman" w:hAnsi="Times New Roman" w:cs="Times New Roman"/>
        </w:rPr>
      </w:pPr>
      <w:r>
        <w:rPr>
          <w:rFonts w:ascii="Times New Roman" w:hAnsi="Times New Roman" w:cs="Times New Roman"/>
        </w:rPr>
        <w:t xml:space="preserve"> L. Rosnawati, "Analisis Pengaruh ROA, ROE, dan NPM Terhadap Pertumbuhan Laba Perusahaan di Indonesia," Karisma Pro Journal, 2023. Jurnal di Universitas Tadulako, "Analisis Pengaruh Return On Asset (ROA), Return On Equity (ROE), dan Net Profit Margin (NPM)," 2024.</w:t>
      </w:r>
    </w:p>
    <w:p w14:paraId="0AD607A8">
      <w:pPr>
        <w:pStyle w:val="31"/>
        <w:spacing w:line="240" w:lineRule="auto"/>
        <w:ind w:left="1440" w:hanging="720"/>
        <w:jc w:val="both"/>
        <w:rPr>
          <w:rFonts w:ascii="Times New Roman" w:hAnsi="Times New Roman" w:cs="Times New Roman"/>
        </w:rPr>
      </w:pPr>
      <w:r>
        <w:rPr>
          <w:rFonts w:ascii="Times New Roman" w:hAnsi="Times New Roman" w:cs="Times New Roman"/>
        </w:rPr>
        <w:t xml:space="preserve"> Soehaditama, J. P., Manurung, A. H., Machdar, N. M., &amp; Hidayat, W. W. (2024). Analisis Rasio Lancar, Rasio Hutang terhadap Ekuitas, Emisi Karbon Dioksida pada Penerbitan Green Bond. Jurnal Akademi Akuntansi Indonesia Padang, 4(2), 347-356.</w:t>
      </w:r>
    </w:p>
    <w:sectPr>
      <w:footerReference r:id="rId8" w:type="default"/>
      <w:type w:val="continuous"/>
      <w:pgSz w:w="11906" w:h="16838"/>
      <w:pgMar w:top="1440" w:right="1080" w:bottom="1440" w:left="108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Times">
    <w:altName w:val="SimSun"/>
    <w:panose1 w:val="02020603050405020304"/>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876E2">
    <w:pPr>
      <w:pStyle w:val="13"/>
    </w:pP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8C849">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52DCC">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A499155">
                          <w:pPr>
                            <w:pStyle w:val="13"/>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44</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7WDezM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L7WDezMAgAA&#10;JQYAAA4AAAAAAAAAAQAgAAAAHwEAAGRycy9lMm9Eb2MueG1sUEsFBgAAAAAGAAYAWQEAAF0GAAAA&#10;AA==&#10;">
              <v:fill on="f" focussize="0,0"/>
              <v:stroke on="f" weight="0.5pt"/>
              <v:imagedata o:title=""/>
              <o:lock v:ext="edit" aspectratio="f"/>
              <v:textbox inset="0mm,0mm,0mm,0mm" style="mso-fit-shape-to-text:t;">
                <w:txbxContent>
                  <w:p w14:paraId="7A499155">
                    <w:pPr>
                      <w:pStyle w:val="13"/>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44</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433D3">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sz w:val="18"/>
        <w:szCs w:val="18"/>
      </w:rPr>
    </w:pPr>
  </w:p>
  <w:p w14:paraId="77936322">
    <w:pPr>
      <w:widowControl w:val="0"/>
      <w:autoSpaceDE w:val="0"/>
      <w:autoSpaceDN w:val="0"/>
      <w:spacing w:before="72" w:after="0" w:line="240" w:lineRule="auto"/>
      <w:ind w:left="141" w:right="0" w:firstLine="0"/>
      <w:jc w:val="left"/>
      <w:rPr>
        <w:rFonts w:ascii="Times New Roman" w:hAnsi="Times New Roman" w:eastAsia="Times New Roman" w:cs="Times New Roman"/>
        <w:sz w:val="18"/>
        <w:lang w:val="id" w:eastAsia="en-US"/>
      </w:rPr>
    </w:pPr>
    <w:r>
      <w:rPr>
        <w:rFonts w:ascii="Times New Roman" w:hAnsi="Times New Roman" w:eastAsia="Times New Roman" w:cs="Times New Roman"/>
        <w:sz w:val="18"/>
        <w:lang w:val="id" w:eastAsia="en-US"/>
      </w:rPr>
      <w:t>TALIJAGAD,</w:t>
    </w:r>
    <w:r>
      <w:rPr>
        <w:rFonts w:ascii="Times New Roman" w:hAnsi="Times New Roman" w:eastAsia="Times New Roman" w:cs="Times New Roman"/>
        <w:spacing w:val="-4"/>
        <w:sz w:val="18"/>
        <w:lang w:val="id" w:eastAsia="en-US"/>
      </w:rPr>
      <w:t xml:space="preserve"> </w:t>
    </w:r>
    <w:r>
      <w:rPr>
        <w:rFonts w:hint="default" w:ascii="Times New Roman" w:hAnsi="Times New Roman" w:eastAsia="Times New Roman" w:cs="Times New Roman"/>
        <w:color w:val="000000"/>
        <w:sz w:val="18"/>
        <w:szCs w:val="18"/>
        <w:lang w:val="sv-SE" w:eastAsia="en-US"/>
      </w:rPr>
      <w:t xml:space="preserve"> 20</w:t>
    </w:r>
    <w:r>
      <w:rPr>
        <w:rFonts w:hint="default" w:ascii="Times New Roman" w:hAnsi="Times New Roman" w:eastAsia="Times New Roman" w:cs="Times New Roman"/>
        <w:color w:val="000000"/>
        <w:sz w:val="18"/>
        <w:szCs w:val="18"/>
        <w:lang w:val="en-US" w:eastAsia="en-US"/>
      </w:rPr>
      <w:t>26</w:t>
    </w:r>
    <w:r>
      <w:rPr>
        <w:rFonts w:hint="default" w:ascii="Times New Roman" w:hAnsi="Times New Roman" w:eastAsia="Times New Roman" w:cs="Times New Roman"/>
        <w:color w:val="000000"/>
        <w:sz w:val="18"/>
        <w:szCs w:val="18"/>
        <w:lang w:val="sv-SE" w:eastAsia="en-US"/>
      </w:rPr>
      <w:t xml:space="preserve">, </w:t>
    </w:r>
    <w:r>
      <w:rPr>
        <w:rFonts w:hint="default" w:ascii="Times New Roman" w:hAnsi="Times New Roman" w:eastAsia="Times New Roman" w:cs="Times New Roman"/>
        <w:color w:val="000000"/>
        <w:sz w:val="18"/>
        <w:szCs w:val="18"/>
        <w:lang w:val="en-US" w:eastAsia="en-US"/>
      </w:rPr>
      <w:t>4</w:t>
    </w:r>
    <w:r>
      <w:rPr>
        <w:rFonts w:hint="default" w:ascii="Times New Roman" w:hAnsi="Times New Roman" w:eastAsia="Times New Roman" w:cs="Times New Roman"/>
        <w:color w:val="000000"/>
        <w:sz w:val="18"/>
        <w:szCs w:val="18"/>
        <w:lang w:val="sv-SE" w:eastAsia="en-US"/>
      </w:rPr>
      <w:t>(</w:t>
    </w:r>
    <w:r>
      <w:rPr>
        <w:rFonts w:hint="default" w:ascii="Times New Roman" w:hAnsi="Times New Roman" w:eastAsia="Times New Roman" w:cs="Times New Roman"/>
        <w:color w:val="000000"/>
        <w:sz w:val="18"/>
        <w:szCs w:val="18"/>
        <w:lang w:val="en-US" w:eastAsia="en-US"/>
      </w:rPr>
      <w:t>1</w:t>
    </w:r>
    <w:r>
      <w:rPr>
        <w:rFonts w:hint="default" w:ascii="Times New Roman" w:hAnsi="Times New Roman" w:eastAsia="Times New Roman" w:cs="Times New Roman"/>
        <w:color w:val="000000"/>
        <w:sz w:val="18"/>
        <w:szCs w:val="18"/>
        <w:lang w:val="sv-SE" w:eastAsia="en-US"/>
      </w:rPr>
      <w:t>)</w:t>
    </w:r>
  </w:p>
  <w:p w14:paraId="70CBE673">
    <w:pPr>
      <w:widowControl w:val="0"/>
      <w:autoSpaceDE w:val="0"/>
      <w:autoSpaceDN w:val="0"/>
      <w:spacing w:before="1" w:after="0" w:line="240" w:lineRule="auto"/>
      <w:ind w:left="141" w:right="0" w:firstLine="0"/>
      <w:jc w:val="left"/>
      <w:rPr>
        <w:rFonts w:ascii="Times New Roman" w:hAnsi="Times New Roman" w:eastAsia="Times New Roman" w:cs="Times New Roman"/>
        <w:sz w:val="18"/>
        <w:lang w:val="id" w:eastAsia="en-US"/>
      </w:rPr>
    </w:pPr>
    <w:r>
      <w:rPr>
        <w:rFonts w:ascii="Times New Roman" w:hAnsi="Times New Roman" w:eastAsia="Times New Roman" w:cs="Times New Roman"/>
        <w:sz w:val="18"/>
        <w:lang w:val="id" w:eastAsia="en-US"/>
      </w:rPr>
      <w:t>https://journal.unusida.ac.id/index.php/tali-jagad/index|</w:t>
    </w:r>
    <w:r>
      <w:rPr>
        <w:rFonts w:ascii="Times New Roman" w:hAnsi="Times New Roman" w:eastAsia="Times New Roman" w:cs="Times New Roman"/>
        <w:spacing w:val="-7"/>
        <w:sz w:val="18"/>
        <w:lang w:val="id" w:eastAsia="en-US"/>
      </w:rPr>
      <w:t xml:space="preserve"> </w:t>
    </w:r>
    <w:r>
      <w:rPr>
        <w:rFonts w:hint="default" w:ascii="Times New Roman" w:hAnsi="Times New Roman" w:eastAsia="Times New Roman" w:cs="Times New Roman"/>
        <w:color w:val="000000"/>
        <w:sz w:val="18"/>
        <w:szCs w:val="18"/>
        <w:lang w:val="sv-SE" w:eastAsia="en-US"/>
      </w:rPr>
      <w:t>e-ISSN :</w:t>
    </w:r>
    <w:r>
      <w:rPr>
        <w:rFonts w:hint="default" w:ascii="Times New Roman" w:hAnsi="Times New Roman" w:eastAsia="Times New Roman" w:cs="Times New Roman"/>
        <w:color w:val="000000"/>
        <w:sz w:val="18"/>
        <w:szCs w:val="18"/>
        <w:lang w:val="en-US" w:eastAsia="en-US"/>
      </w:rPr>
      <w:t xml:space="preserve"> 2988 2192</w:t>
    </w:r>
  </w:p>
  <w:p w14:paraId="717A448C">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pPr>
    <w:r>
      <w:rPr>
        <w:color w:val="000000"/>
        <w:sz w:val="18"/>
        <w:szCs w:val="18"/>
      </w:rPr>
      <w:t>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1E420B"/>
    <w:multiLevelType w:val="multilevel"/>
    <w:tmpl w:val="0B1E420B"/>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10A95859"/>
    <w:multiLevelType w:val="multilevel"/>
    <w:tmpl w:val="10A95859"/>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2D7409D6"/>
    <w:multiLevelType w:val="multilevel"/>
    <w:tmpl w:val="2D7409D6"/>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3">
    <w:nsid w:val="39704890"/>
    <w:multiLevelType w:val="multilevel"/>
    <w:tmpl w:val="39704890"/>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3CA67764"/>
    <w:multiLevelType w:val="multilevel"/>
    <w:tmpl w:val="3CA67764"/>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5">
    <w:nsid w:val="50800998"/>
    <w:multiLevelType w:val="multilevel"/>
    <w:tmpl w:val="50800998"/>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6">
    <w:nsid w:val="62B34B68"/>
    <w:multiLevelType w:val="multilevel"/>
    <w:tmpl w:val="62B34B68"/>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69A0743A"/>
    <w:multiLevelType w:val="multilevel"/>
    <w:tmpl w:val="69A0743A"/>
    <w:lvl w:ilvl="0" w:tentative="0">
      <w:start w:val="1"/>
      <w:numFmt w:val="decimal"/>
      <w:lvlText w:val="%1."/>
      <w:lvlJc w:val="left"/>
      <w:pPr>
        <w:ind w:left="720" w:hanging="360"/>
      </w:pPr>
      <w:rPr>
        <w:rFonts w:hint="default"/>
        <w:b/>
      </w:rPr>
    </w:lvl>
    <w:lvl w:ilvl="1" w:tentative="0">
      <w:start w:val="1"/>
      <w:numFmt w:val="decimal"/>
      <w:isLgl/>
      <w:lvlText w:val="%1.%2"/>
      <w:lvlJc w:val="left"/>
      <w:pPr>
        <w:ind w:left="1080" w:hanging="360"/>
      </w:pPr>
      <w:rPr>
        <w:rFonts w:hint="default"/>
      </w:rPr>
    </w:lvl>
    <w:lvl w:ilvl="2" w:tentative="0">
      <w:start w:val="1"/>
      <w:numFmt w:val="decimal"/>
      <w:isLgl/>
      <w:lvlText w:val="%1.%2.%3"/>
      <w:lvlJc w:val="left"/>
      <w:pPr>
        <w:ind w:left="1800" w:hanging="720"/>
      </w:pPr>
      <w:rPr>
        <w:rFonts w:hint="default"/>
      </w:rPr>
    </w:lvl>
    <w:lvl w:ilvl="3" w:tentative="0">
      <w:start w:val="1"/>
      <w:numFmt w:val="decimal"/>
      <w:isLgl/>
      <w:lvlText w:val="%1.%2.%3.%4"/>
      <w:lvlJc w:val="left"/>
      <w:pPr>
        <w:ind w:left="2160" w:hanging="720"/>
      </w:pPr>
      <w:rPr>
        <w:rFonts w:hint="default"/>
      </w:rPr>
    </w:lvl>
    <w:lvl w:ilvl="4" w:tentative="0">
      <w:start w:val="1"/>
      <w:numFmt w:val="decimal"/>
      <w:isLgl/>
      <w:lvlText w:val="%1.%2.%3.%4.%5"/>
      <w:lvlJc w:val="left"/>
      <w:pPr>
        <w:ind w:left="2880" w:hanging="1080"/>
      </w:pPr>
      <w:rPr>
        <w:rFonts w:hint="default"/>
      </w:rPr>
    </w:lvl>
    <w:lvl w:ilvl="5" w:tentative="0">
      <w:start w:val="1"/>
      <w:numFmt w:val="decimal"/>
      <w:isLgl/>
      <w:lvlText w:val="%1.%2.%3.%4.%5.%6"/>
      <w:lvlJc w:val="left"/>
      <w:pPr>
        <w:ind w:left="3240" w:hanging="108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320" w:hanging="1440"/>
      </w:pPr>
      <w:rPr>
        <w:rFonts w:hint="default"/>
      </w:rPr>
    </w:lvl>
    <w:lvl w:ilvl="8" w:tentative="0">
      <w:start w:val="1"/>
      <w:numFmt w:val="decimal"/>
      <w:isLgl/>
      <w:lvlText w:val="%1.%2.%3.%4.%5.%6.%7.%8.%9"/>
      <w:lvlJc w:val="left"/>
      <w:pPr>
        <w:ind w:left="5040" w:hanging="1800"/>
      </w:pPr>
      <w:rPr>
        <w:rFonts w:hint="default"/>
      </w:rPr>
    </w:lvl>
  </w:abstractNum>
  <w:abstractNum w:abstractNumId="8">
    <w:nsid w:val="763E005C"/>
    <w:multiLevelType w:val="multilevel"/>
    <w:tmpl w:val="763E005C"/>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
    <w:nsid w:val="7A5A1493"/>
    <w:multiLevelType w:val="multilevel"/>
    <w:tmpl w:val="7A5A1493"/>
    <w:lvl w:ilvl="0" w:tentative="0">
      <w:start w:val="1"/>
      <w:numFmt w:val="low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7"/>
  </w:num>
  <w:num w:numId="2">
    <w:abstractNumId w:val="6"/>
  </w:num>
  <w:num w:numId="3">
    <w:abstractNumId w:val="8"/>
  </w:num>
  <w:num w:numId="4">
    <w:abstractNumId w:val="2"/>
  </w:num>
  <w:num w:numId="5">
    <w:abstractNumId w:val="1"/>
  </w:num>
  <w:num w:numId="6">
    <w:abstractNumId w:val="9"/>
  </w:num>
  <w:num w:numId="7">
    <w:abstractNumId w:val="5"/>
  </w:num>
  <w:num w:numId="8">
    <w:abstractNumId w:val="4"/>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56B"/>
    <w:rsid w:val="000442DD"/>
    <w:rsid w:val="001410C7"/>
    <w:rsid w:val="00206DDF"/>
    <w:rsid w:val="002C60AC"/>
    <w:rsid w:val="003A2A32"/>
    <w:rsid w:val="003A356B"/>
    <w:rsid w:val="004B7C52"/>
    <w:rsid w:val="00583F17"/>
    <w:rsid w:val="006134DF"/>
    <w:rsid w:val="007351BF"/>
    <w:rsid w:val="007B1AC1"/>
    <w:rsid w:val="007F7559"/>
    <w:rsid w:val="00826C0E"/>
    <w:rsid w:val="008B3FD0"/>
    <w:rsid w:val="008C5E4A"/>
    <w:rsid w:val="008F6D0A"/>
    <w:rsid w:val="00913191"/>
    <w:rsid w:val="009D0CF0"/>
    <w:rsid w:val="00A402E9"/>
    <w:rsid w:val="00B713E7"/>
    <w:rsid w:val="00F15DF8"/>
    <w:rsid w:val="00F30A9B"/>
    <w:rsid w:val="00FE6531"/>
    <w:rsid w:val="27AF262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id-ID"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semiHidden/>
    <w:unhideWhenUsed/>
    <w:uiPriority w:val="99"/>
    <w:pPr>
      <w:tabs>
        <w:tab w:val="center" w:pos="4153"/>
        <w:tab w:val="right" w:pos="8306"/>
      </w:tabs>
      <w:snapToGrid w:val="0"/>
      <w:jc w:val="left"/>
    </w:pPr>
    <w:rPr>
      <w:sz w:val="18"/>
      <w:szCs w:val="18"/>
    </w:rPr>
  </w:style>
  <w:style w:type="paragraph" w:styleId="14">
    <w:name w:val="header"/>
    <w:basedOn w:val="1"/>
    <w:semiHidden/>
    <w:unhideWhenUsed/>
    <w:uiPriority w:val="99"/>
    <w:pPr>
      <w:tabs>
        <w:tab w:val="center" w:pos="4153"/>
        <w:tab w:val="right" w:pos="8306"/>
      </w:tabs>
      <w:snapToGrid w:val="0"/>
    </w:pPr>
    <w:rPr>
      <w:sz w:val="18"/>
      <w:szCs w:val="18"/>
    </w:rPr>
  </w:style>
  <w:style w:type="character" w:styleId="15">
    <w:name w:val="Hyperlink"/>
    <w:basedOn w:val="11"/>
    <w:unhideWhenUsed/>
    <w:uiPriority w:val="99"/>
    <w:rPr>
      <w:color w:val="0563C1" w:themeColor="hyperlink"/>
      <w:u w:val="single"/>
      <w14:textFill>
        <w14:solidFill>
          <w14:schemeClr w14:val="hlink"/>
        </w14:solidFill>
      </w14:textFill>
    </w:r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1">
    <w:name w:val="Heading 4 Char"/>
    <w:basedOn w:val="11"/>
    <w:link w:val="5"/>
    <w:semiHidden/>
    <w:qFormat/>
    <w:uiPriority w:val="9"/>
    <w:rPr>
      <w:rFonts w:eastAsiaTheme="majorEastAsia" w:cstheme="majorBidi"/>
      <w:i/>
      <w:iCs/>
      <w:color w:val="2F5597" w:themeColor="accent1" w:themeShade="BF"/>
    </w:rPr>
  </w:style>
  <w:style w:type="character" w:customStyle="1" w:styleId="22">
    <w:name w:val="Heading 5 Char"/>
    <w:basedOn w:val="11"/>
    <w:link w:val="6"/>
    <w:semiHidden/>
    <w:qFormat/>
    <w:uiPriority w:val="9"/>
    <w:rPr>
      <w:rFonts w:eastAsiaTheme="majorEastAsia" w:cstheme="majorBidi"/>
      <w:color w:val="2F5597" w:themeColor="accent1" w:themeShade="BF"/>
    </w:rPr>
  </w:style>
  <w:style w:type="character" w:customStyle="1" w:styleId="23">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Intense Quote Char"/>
    <w:basedOn w:val="11"/>
    <w:link w:val="33"/>
    <w:qFormat/>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F40847-A8EA-4255-B4BD-FAA99AF3CCF5}">
  <ds:schemaRefs/>
</ds:datastoreItem>
</file>

<file path=docProps/app.xml><?xml version="1.0" encoding="utf-8"?>
<Properties xmlns="http://schemas.openxmlformats.org/officeDocument/2006/extended-properties" xmlns:vt="http://schemas.openxmlformats.org/officeDocument/2006/docPropsVTypes">
  <Template>Normal</Template>
  <Pages>9</Pages>
  <Words>2600</Words>
  <Characters>17308</Characters>
  <Lines>146</Lines>
  <Paragraphs>41</Paragraphs>
  <TotalTime>2</TotalTime>
  <ScaleCrop>false</ScaleCrop>
  <LinksUpToDate>false</LinksUpToDate>
  <CharactersWithSpaces>20259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2025-10-28T11:33:00Z</dcterms:created>
  <dc:creator>dinda fauziyah</dc:creator>
  <cp:lastModifiedBy>Afifatus Sholikhah</cp:lastModifiedBy>
  <dcterms:modified xsi:type="dcterms:W3CDTF">2026-06-02T03:57:11Z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eyJoZGlkIjoiYmM2MzI2MjAxYmYzZjc3MDJiNjRmM2Y1YThiN2ZhNDMiLCJ1c2VySWQiOiI4ODEzNzcxNDMyNjAxIn0=</vt:lpwstr>
  </property>
  <property fmtid="{D5CDD505-2E9C-101B-9397-08002B2CF9AE}" pid="3" name="KSOProductBuildVer">
    <vt:lpwstr>1033-12.1.0.26880</vt:lpwstr>
  </property>
  <property fmtid="{D5CDD505-2E9C-101B-9397-08002B2CF9AE}" pid="4" name="ICV">
    <vt:lpwstr>05775D3A58734BD2B5D1FD4E57C9493A_12</vt:lpwstr>
  </property>
</Properties>
</file>